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04DAE" w:rsidTr="003773A2">
        <w:tc>
          <w:tcPr>
            <w:tcW w:w="4785" w:type="dxa"/>
          </w:tcPr>
          <w:p w:rsid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652482">
              <w:rPr>
                <w:rFonts w:ascii="한컴바탕" w:eastAsia="한컴바탕" w:hAnsi="한컴바탕" w:cs="한컴바탕" w:hint="eastAsia"/>
                <w:b/>
                <w:sz w:val="26"/>
                <w:szCs w:val="26"/>
                <w:lang w:eastAsia="ko-KR"/>
              </w:rPr>
              <w:t xml:space="preserve">《폐기 전기전자제품 처리기금 </w:t>
            </w:r>
          </w:p>
          <w:p w:rsid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652482">
              <w:rPr>
                <w:rFonts w:ascii="한컴바탕" w:eastAsia="한컴바탕" w:hAnsi="한컴바탕" w:cs="한컴바탕" w:hint="eastAsia"/>
                <w:b/>
                <w:sz w:val="26"/>
                <w:szCs w:val="26"/>
                <w:lang w:eastAsia="ko-KR"/>
              </w:rPr>
              <w:t xml:space="preserve">징수사용 관리방법》 발표에 관한 </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652482">
              <w:rPr>
                <w:rFonts w:ascii="한컴바탕" w:eastAsia="한컴바탕" w:hAnsi="한컴바탕" w:cs="한컴바탕" w:hint="eastAsia"/>
                <w:b/>
                <w:sz w:val="26"/>
                <w:szCs w:val="26"/>
                <w:lang w:eastAsia="ko-KR"/>
              </w:rPr>
              <w:t>통지</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재종[2012]34호</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각 성, 자치구, 직할시 인민정부, 국무원 각 부서위원회, 각 직속기구: </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    《폐기 전기전자제품 처리기금 징수사용 관리방법》이 국무원의 비준을 득한 바, 이에 공포하며, 본 통지에 따라 집행하기 바란다. </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첨부: 폐기 전기전자제품 처리기금 징수사용 관리방법</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proofErr w:type="spellStart"/>
            <w:r w:rsidRPr="00652482">
              <w:rPr>
                <w:rFonts w:ascii="한컴바탕" w:eastAsia="한컴바탕" w:hAnsi="한컴바탕" w:cs="한컴바탕" w:hint="eastAsia"/>
                <w:szCs w:val="21"/>
                <w:lang w:eastAsia="ko-KR"/>
              </w:rPr>
              <w:t>재정부</w:t>
            </w:r>
            <w:proofErr w:type="spellEnd"/>
          </w:p>
          <w:p w:rsidR="00A04DAE" w:rsidRPr="00652482" w:rsidRDefault="00A04DAE" w:rsidP="00652482">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proofErr w:type="spellStart"/>
            <w:r w:rsidRPr="00652482">
              <w:rPr>
                <w:rFonts w:ascii="한컴바탕" w:eastAsia="한컴바탕" w:hAnsi="한컴바탕" w:cs="한컴바탕" w:hint="eastAsia"/>
                <w:szCs w:val="21"/>
                <w:lang w:eastAsia="ko-KR"/>
              </w:rPr>
              <w:t>환경보호부</w:t>
            </w:r>
            <w:proofErr w:type="spellEnd"/>
          </w:p>
          <w:p w:rsidR="00A04DAE" w:rsidRPr="00652482" w:rsidRDefault="00A04DAE" w:rsidP="00652482">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국가발전개혁위원회</w:t>
            </w:r>
          </w:p>
          <w:p w:rsidR="00A04DAE" w:rsidRPr="00652482" w:rsidRDefault="00A04DAE" w:rsidP="00652482">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공업 및 </w:t>
            </w:r>
            <w:proofErr w:type="spellStart"/>
            <w:r w:rsidRPr="00652482">
              <w:rPr>
                <w:rFonts w:ascii="한컴바탕" w:eastAsia="한컴바탕" w:hAnsi="한컴바탕" w:cs="한컴바탕" w:hint="eastAsia"/>
                <w:szCs w:val="21"/>
                <w:lang w:eastAsia="ko-KR"/>
              </w:rPr>
              <w:t>정보화부</w:t>
            </w:r>
            <w:proofErr w:type="spellEnd"/>
          </w:p>
          <w:p w:rsidR="00A04DAE" w:rsidRPr="00652482" w:rsidRDefault="00A04DAE" w:rsidP="00652482">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해관총서</w:t>
            </w:r>
          </w:p>
          <w:p w:rsidR="00A04DAE" w:rsidRPr="00652482" w:rsidRDefault="00A04DAE" w:rsidP="00652482">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국가세무총국</w:t>
            </w:r>
          </w:p>
          <w:p w:rsidR="00A04DAE" w:rsidRPr="00652482" w:rsidRDefault="00A04DAE" w:rsidP="00652482">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2012년 5월 21일</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첨부: </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 xml:space="preserve">폐기 전기전자제품 처리기금 징수사용 </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관리방법</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 xml:space="preserve">제1장 </w:t>
            </w:r>
            <w:proofErr w:type="gramStart"/>
            <w:r w:rsidRPr="00652482">
              <w:rPr>
                <w:rFonts w:ascii="한컴바탕" w:eastAsia="한컴바탕" w:hAnsi="한컴바탕" w:cs="한컴바탕" w:hint="eastAsia"/>
                <w:b/>
                <w:szCs w:val="21"/>
                <w:lang w:eastAsia="ko-KR"/>
              </w:rPr>
              <w:t xml:space="preserve">총  </w:t>
            </w:r>
            <w:proofErr w:type="spellStart"/>
            <w:r w:rsidRPr="00652482">
              <w:rPr>
                <w:rFonts w:ascii="한컴바탕" w:eastAsia="한컴바탕" w:hAnsi="한컴바탕" w:cs="한컴바탕" w:hint="eastAsia"/>
                <w:b/>
                <w:szCs w:val="21"/>
                <w:lang w:eastAsia="ko-KR"/>
              </w:rPr>
              <w:t>칙</w:t>
            </w:r>
            <w:proofErr w:type="spellEnd"/>
            <w:proofErr w:type="gramEnd"/>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제1조</w:t>
            </w:r>
            <w:r w:rsidRPr="00652482">
              <w:rPr>
                <w:rFonts w:ascii="한컴바탕" w:eastAsia="한컴바탕" w:hAnsi="한컴바탕" w:cs="한컴바탕" w:hint="eastAsia"/>
                <w:szCs w:val="21"/>
                <w:lang w:eastAsia="ko-KR"/>
              </w:rPr>
              <w:t xml:space="preserve"> 폐기 전기전자제품 처리기금의 징수사용 관리를 규범화 하기 위해, 《폐기 전기전자제품 회수처리 관리조례》(국무원령 제551호, 이하 《조례》라 함)의 규정에 근거하여 본 방법을 제정한다.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제2조</w:t>
            </w:r>
            <w:r w:rsidRPr="00652482">
              <w:rPr>
                <w:rFonts w:ascii="한컴바탕" w:eastAsia="한컴바탕" w:hAnsi="한컴바탕" w:cs="한컴바탕" w:hint="eastAsia"/>
                <w:szCs w:val="21"/>
                <w:lang w:eastAsia="ko-KR"/>
              </w:rPr>
              <w:t xml:space="preserve"> 폐기 전기전자제품 처리기금(이하 “기금”)은 국가가 폐기 전기전가제품의 회수처리를 촉진하기 위해 설립한 정부성 기금이다.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제3조</w:t>
            </w:r>
            <w:r w:rsidRPr="00652482">
              <w:rPr>
                <w:rFonts w:ascii="한컴바탕" w:eastAsia="한컴바탕" w:hAnsi="한컴바탕" w:cs="한컴바탕" w:hint="eastAsia"/>
                <w:szCs w:val="21"/>
                <w:lang w:eastAsia="ko-KR"/>
              </w:rPr>
              <w:t xml:space="preserve"> 기금 금액은 중앙 국고에 납입하며, 중앙 정부성 기금 예산관리에 편입되어 특수용도로만 집행한다. 연말의 잔액은 </w:t>
            </w:r>
            <w:proofErr w:type="spellStart"/>
            <w:r w:rsidRPr="00652482">
              <w:rPr>
                <w:rFonts w:ascii="한컴바탕" w:eastAsia="한컴바탕" w:hAnsi="한컴바탕" w:cs="한컴바탕" w:hint="eastAsia"/>
                <w:szCs w:val="21"/>
                <w:lang w:eastAsia="ko-KR"/>
              </w:rPr>
              <w:t>다음년도로</w:t>
            </w:r>
            <w:proofErr w:type="spellEnd"/>
            <w:r w:rsidRPr="00652482">
              <w:rPr>
                <w:rFonts w:ascii="한컴바탕" w:eastAsia="한컴바탕" w:hAnsi="한컴바탕" w:cs="한컴바탕" w:hint="eastAsia"/>
                <w:szCs w:val="21"/>
                <w:lang w:eastAsia="ko-KR"/>
              </w:rPr>
              <w:t xml:space="preserve"> 이월하여 계속 사용한다. </w:t>
            </w:r>
          </w:p>
          <w:p w:rsidR="00A04DAE" w:rsidRPr="00652482" w:rsidRDefault="00A04DAE" w:rsidP="00652482">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p>
          <w:p w:rsidR="00A04DAE" w:rsidRPr="00652482" w:rsidRDefault="00A04DAE" w:rsidP="00652482">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제2장 징수관리</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제4조</w:t>
            </w:r>
            <w:r w:rsidRPr="00652482">
              <w:rPr>
                <w:rFonts w:ascii="한컴바탕" w:eastAsia="한컴바탕" w:hAnsi="한컴바탕" w:cs="한컴바탕" w:hint="eastAsia"/>
                <w:szCs w:val="21"/>
                <w:lang w:eastAsia="ko-KR"/>
              </w:rPr>
              <w:t xml:space="preserve"> 전기전자제품의 생산자, 전지전자제</w:t>
            </w:r>
            <w:r w:rsidRPr="00652482">
              <w:rPr>
                <w:rFonts w:ascii="한컴바탕" w:eastAsia="한컴바탕" w:hAnsi="한컴바탕" w:cs="한컴바탕" w:hint="eastAsia"/>
                <w:szCs w:val="21"/>
                <w:lang w:eastAsia="ko-KR"/>
              </w:rPr>
              <w:lastRenderedPageBreak/>
              <w:t xml:space="preserve">품을 수입하는 수하인 또는 그 대리인은 본 방법의 규정에 근거하여 기금납입 의무를 이행해야 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전기전자제품의 생산자는 자가 브랜드 생산기업과 OEM생산기업을 포함한다.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제5조</w:t>
            </w:r>
            <w:r w:rsidRPr="00652482">
              <w:rPr>
                <w:rFonts w:ascii="한컴바탕" w:eastAsia="한컴바탕" w:hAnsi="한컴바탕" w:cs="한컴바탕" w:hint="eastAsia"/>
                <w:szCs w:val="21"/>
                <w:lang w:eastAsia="ko-KR"/>
              </w:rPr>
              <w:t xml:space="preserve"> 기금은 전기전자제품 생산자의 판매량과 전기전자제품을 수입하는 수하인 또는 그 대리인이 수입한 전기전자제품 수량에 따라 각각 징수한다.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제6조</w:t>
            </w:r>
            <w:r w:rsidRPr="00652482">
              <w:rPr>
                <w:rFonts w:ascii="한컴바탕" w:eastAsia="한컴바탕" w:hAnsi="한컴바탕" w:cs="한컴바탕" w:hint="eastAsia"/>
                <w:szCs w:val="21"/>
                <w:lang w:eastAsia="ko-KR"/>
              </w:rPr>
              <w:t xml:space="preserve"> 기금납입 징수범위의 전기전가제품은 《폐기 전기전자 제품 처리목록》(이하 《목록》이라 함)에 따라 집행하며, 구체적인 징수범위와 표준은 첨부를 참조한다.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제7조</w:t>
            </w:r>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재정부는</w:t>
            </w:r>
            <w:proofErr w:type="spellEnd"/>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국가발전개혁위원회, 공업 및 </w:t>
            </w:r>
            <w:proofErr w:type="spellStart"/>
            <w:r w:rsidRPr="00652482">
              <w:rPr>
                <w:rFonts w:ascii="한컴바탕" w:eastAsia="한컴바탕" w:hAnsi="한컴바탕" w:cs="한컴바탕" w:hint="eastAsia"/>
                <w:szCs w:val="21"/>
                <w:lang w:eastAsia="ko-KR"/>
              </w:rPr>
              <w:t>정보화부와</w:t>
            </w:r>
            <w:proofErr w:type="spellEnd"/>
            <w:r w:rsidRPr="00652482">
              <w:rPr>
                <w:rFonts w:ascii="한컴바탕" w:eastAsia="한컴바탕" w:hAnsi="한컴바탕" w:cs="한컴바탕" w:hint="eastAsia"/>
                <w:szCs w:val="21"/>
                <w:lang w:eastAsia="ko-KR"/>
              </w:rPr>
              <w:t xml:space="preserve"> 협의하여 폐기 전기전자제품 회수처리 보조자금의 실제수요에 근거, 유관 기업과 업종협회의 의견을 수렴하고 기금의 징수표준을 적절히 조정한다. </w:t>
            </w:r>
          </w:p>
          <w:p w:rsidR="00A04DAE" w:rsidRPr="00606004" w:rsidRDefault="00A04DAE" w:rsidP="00606004">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606004">
              <w:rPr>
                <w:rFonts w:ascii="한컴바탕" w:eastAsia="한컴바탕" w:hAnsi="한컴바탕" w:cs="한컴바탕" w:hint="eastAsia"/>
                <w:b/>
                <w:spacing w:val="-2"/>
                <w:szCs w:val="21"/>
                <w:lang w:eastAsia="ko-KR"/>
              </w:rPr>
              <w:t>제8조</w:t>
            </w:r>
            <w:r w:rsidRPr="00606004">
              <w:rPr>
                <w:rFonts w:ascii="한컴바탕" w:eastAsia="한컴바탕" w:hAnsi="한컴바탕" w:cs="한컴바탕" w:hint="eastAsia"/>
                <w:spacing w:val="-2"/>
                <w:szCs w:val="21"/>
                <w:lang w:eastAsia="ko-KR"/>
              </w:rPr>
              <w:t xml:space="preserve"> 전기전자제품 생산자가 납부해야 하는 기금은 </w:t>
            </w:r>
            <w:proofErr w:type="spellStart"/>
            <w:r w:rsidRPr="00606004">
              <w:rPr>
                <w:rFonts w:ascii="한컴바탕" w:eastAsia="한컴바탕" w:hAnsi="한컴바탕" w:cs="한컴바탕" w:hint="eastAsia"/>
                <w:spacing w:val="-2"/>
                <w:szCs w:val="21"/>
                <w:lang w:eastAsia="ko-KR"/>
              </w:rPr>
              <w:t>국가세무국이</w:t>
            </w:r>
            <w:proofErr w:type="spellEnd"/>
            <w:r w:rsidRPr="00606004">
              <w:rPr>
                <w:rFonts w:ascii="한컴바탕" w:eastAsia="한컴바탕" w:hAnsi="한컴바탕" w:cs="한컴바탕" w:hint="eastAsia"/>
                <w:spacing w:val="-2"/>
                <w:szCs w:val="21"/>
                <w:lang w:eastAsia="ko-KR"/>
              </w:rPr>
              <w:t xml:space="preserve"> 징수를 담당한다. 전기전자제품 수입하는 수하인 또는 그 대리인이 납부해야 하는 기금은 해관이 징수를 담당한다.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제9조</w:t>
            </w:r>
            <w:r w:rsidRPr="00652482">
              <w:rPr>
                <w:rFonts w:ascii="한컴바탕" w:eastAsia="한컴바탕" w:hAnsi="한컴바탕" w:cs="한컴바탕" w:hint="eastAsia"/>
                <w:szCs w:val="21"/>
                <w:lang w:eastAsia="ko-KR"/>
              </w:rPr>
              <w:t xml:space="preserve"> 전기전자제품 생산자는 분기별로 기금을 </w:t>
            </w:r>
            <w:proofErr w:type="spellStart"/>
            <w:r w:rsidRPr="00652482">
              <w:rPr>
                <w:rFonts w:ascii="한컴바탕" w:eastAsia="한컴바탕" w:hAnsi="한컴바탕" w:cs="한컴바탕" w:hint="eastAsia"/>
                <w:szCs w:val="21"/>
                <w:lang w:eastAsia="ko-KR"/>
              </w:rPr>
              <w:t>신고납부한다</w:t>
            </w:r>
            <w:proofErr w:type="spellEnd"/>
            <w:r w:rsidRPr="00652482">
              <w:rPr>
                <w:rFonts w:ascii="한컴바탕" w:eastAsia="한컴바탕" w:hAnsi="한컴바탕" w:cs="한컴바탕" w:hint="eastAsia"/>
                <w:szCs w:val="21"/>
                <w:lang w:eastAsia="ko-KR"/>
              </w:rPr>
              <w:t xml:space="preserve">.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국가세무국은 전기전자제품 생산자 징수기금에 대해 세수징수 관리 규정을 적용한다. </w:t>
            </w:r>
          </w:p>
          <w:p w:rsidR="00A04DAE" w:rsidRPr="00606004" w:rsidRDefault="00A04DAE" w:rsidP="00606004">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606004">
              <w:rPr>
                <w:rFonts w:ascii="한컴바탕" w:eastAsia="한컴바탕" w:hAnsi="한컴바탕" w:cs="한컴바탕" w:hint="eastAsia"/>
                <w:b/>
                <w:spacing w:val="-6"/>
                <w:szCs w:val="21"/>
                <w:lang w:eastAsia="ko-KR"/>
              </w:rPr>
              <w:t>제10조</w:t>
            </w:r>
            <w:r w:rsidRPr="00606004">
              <w:rPr>
                <w:rFonts w:ascii="한컴바탕" w:eastAsia="한컴바탕" w:hAnsi="한컴바탕" w:cs="한컴바탕" w:hint="eastAsia"/>
                <w:spacing w:val="-6"/>
                <w:szCs w:val="21"/>
                <w:lang w:eastAsia="ko-KR"/>
              </w:rPr>
              <w:t xml:space="preserve"> 전기전자제품을 수입하는 수하인 또는 그 대리인은 화물 수입신고 시 기금을 납부한다. 해관은 기금의 징수납부고(库) 관리에 대해 관세 징수납부고(库) 관리 규정에 따라 집행한다.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제11조</w:t>
            </w:r>
            <w:r w:rsidRPr="00652482">
              <w:rPr>
                <w:rFonts w:ascii="한컴바탕" w:eastAsia="한컴바탕" w:hAnsi="한컴바탕" w:cs="한컴바탕" w:hint="eastAsia"/>
                <w:szCs w:val="21"/>
                <w:lang w:eastAsia="ko-KR"/>
              </w:rPr>
              <w:t xml:space="preserve"> 자원의 종합이용과 무해화 처리에 도움이 되는 설계방안을 사용하거나 환경보호와 회수이용 재료생산이 용이한 전기전자 제품에 대해 기금을 감면징수 할 수 있다. 구체적인 방법은 재정부가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국가발전개혁위원회, 공업 및 </w:t>
            </w:r>
            <w:proofErr w:type="spellStart"/>
            <w:r w:rsidRPr="00652482">
              <w:rPr>
                <w:rFonts w:ascii="한컴바탕" w:eastAsia="한컴바탕" w:hAnsi="한컴바탕" w:cs="한컴바탕" w:hint="eastAsia"/>
                <w:szCs w:val="21"/>
                <w:lang w:eastAsia="ko-KR"/>
              </w:rPr>
              <w:t>정보화부</w:t>
            </w:r>
            <w:proofErr w:type="spellEnd"/>
            <w:r w:rsidRPr="00652482">
              <w:rPr>
                <w:rFonts w:ascii="한컴바탕" w:eastAsia="한컴바탕" w:hAnsi="한컴바탕" w:cs="한컴바탕" w:hint="eastAsia"/>
                <w:szCs w:val="21"/>
                <w:lang w:eastAsia="ko-KR"/>
              </w:rPr>
              <w:t xml:space="preserve">, 세무총국, 해관총서와 협의하여 별도 제정한다. </w:t>
            </w:r>
          </w:p>
          <w:p w:rsidR="00A04DAE" w:rsidRPr="00606004" w:rsidRDefault="00A04DAE" w:rsidP="00606004">
            <w:pPr>
              <w:wordWrap w:val="0"/>
              <w:topLinePunct/>
              <w:autoSpaceDN w:val="0"/>
              <w:adjustRightInd w:val="0"/>
              <w:snapToGrid w:val="0"/>
              <w:spacing w:line="290" w:lineRule="atLeast"/>
              <w:ind w:firstLineChars="200" w:firstLine="388"/>
              <w:rPr>
                <w:rFonts w:ascii="한컴바탕" w:eastAsia="한컴바탕" w:hAnsi="한컴바탕" w:cs="한컴바탕" w:hint="eastAsia"/>
                <w:b/>
                <w:spacing w:val="-6"/>
                <w:szCs w:val="21"/>
                <w:lang w:eastAsia="ko-KR"/>
              </w:rPr>
            </w:pPr>
            <w:r w:rsidRPr="00606004">
              <w:rPr>
                <w:rFonts w:ascii="한컴바탕" w:eastAsia="한컴바탕" w:hAnsi="한컴바탕" w:cs="한컴바탕" w:hint="eastAsia"/>
                <w:b/>
                <w:spacing w:val="-6"/>
                <w:szCs w:val="21"/>
                <w:lang w:eastAsia="ko-KR"/>
              </w:rPr>
              <w:t>제12조</w:t>
            </w:r>
            <w:r w:rsidRPr="00606004">
              <w:rPr>
                <w:rFonts w:ascii="한컴바탕" w:eastAsia="한컴바탕" w:hAnsi="한컴바탕" w:cs="한컴바탕" w:hint="eastAsia"/>
                <w:spacing w:val="-6"/>
                <w:szCs w:val="21"/>
                <w:lang w:eastAsia="ko-KR"/>
              </w:rPr>
              <w:t xml:space="preserve"> 전기전가제품 생산자가 수출에 사용되는 전기전자제품 생산하는 것에 대하여 기금징수를 면제하고, 전기전자제품 생산자가 《중화인민공화국 화물수출 세관신고서》에 열거된 수출제품 명칭과 수량에 근거하여 </w:t>
            </w:r>
            <w:proofErr w:type="spellStart"/>
            <w:r w:rsidRPr="00606004">
              <w:rPr>
                <w:rFonts w:ascii="한컴바탕" w:eastAsia="한컴바탕" w:hAnsi="한컴바탕" w:cs="한컴바탕" w:hint="eastAsia"/>
                <w:spacing w:val="-6"/>
                <w:szCs w:val="21"/>
                <w:lang w:eastAsia="ko-KR"/>
              </w:rPr>
              <w:t>국가세무국에</w:t>
            </w:r>
            <w:proofErr w:type="spellEnd"/>
            <w:r w:rsidRPr="00606004">
              <w:rPr>
                <w:rFonts w:ascii="한컴바탕" w:eastAsia="한컴바탕" w:hAnsi="한컴바탕" w:cs="한컴바탕" w:hint="eastAsia"/>
                <w:spacing w:val="-6"/>
                <w:szCs w:val="21"/>
                <w:lang w:eastAsia="ko-KR"/>
              </w:rPr>
              <w:t xml:space="preserve"> 납부할 기금의 제품 판매수량 중 공제를 신청한다.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제13조</w:t>
            </w:r>
            <w:r w:rsidRPr="00652482">
              <w:rPr>
                <w:rFonts w:ascii="한컴바탕" w:eastAsia="한컴바탕" w:hAnsi="한컴바탕" w:cs="한컴바탕" w:hint="eastAsia"/>
                <w:szCs w:val="21"/>
                <w:lang w:eastAsia="ko-KR"/>
              </w:rPr>
              <w:t xml:space="preserve"> 전기전자제품 생산자가 수입한 전기전자제품이 이미 기금을 납부한 경우, 국내 판매 시, 기금징수를 면제하며, 전기전자제품 </w:t>
            </w:r>
            <w:r w:rsidRPr="00652482">
              <w:rPr>
                <w:rFonts w:ascii="한컴바탕" w:eastAsia="한컴바탕" w:hAnsi="한컴바탕" w:cs="한컴바탕" w:hint="eastAsia"/>
                <w:szCs w:val="21"/>
                <w:lang w:eastAsia="ko-KR"/>
              </w:rPr>
              <w:lastRenderedPageBreak/>
              <w:t xml:space="preserve">생산자는 《중화인민공화국 화물수출 세관신고서》와 《수입 폐기 전기전자제품 처리기금 납부서》에 열거된 수입제품 명칭과 수량에 따라 </w:t>
            </w:r>
            <w:proofErr w:type="spellStart"/>
            <w:r w:rsidRPr="00652482">
              <w:rPr>
                <w:rFonts w:ascii="한컴바탕" w:eastAsia="한컴바탕" w:hAnsi="한컴바탕" w:cs="한컴바탕" w:hint="eastAsia"/>
                <w:szCs w:val="21"/>
                <w:lang w:eastAsia="ko-KR"/>
              </w:rPr>
              <w:t>국가세무국에</w:t>
            </w:r>
            <w:proofErr w:type="spellEnd"/>
            <w:r w:rsidRPr="00652482">
              <w:rPr>
                <w:rFonts w:ascii="한컴바탕" w:eastAsia="한컴바탕" w:hAnsi="한컴바탕" w:cs="한컴바탕" w:hint="eastAsia"/>
                <w:szCs w:val="21"/>
                <w:lang w:eastAsia="ko-KR"/>
              </w:rPr>
              <w:t xml:space="preserve"> 납부기금의 제품 판매수량 중 공제를 신청한다. </w:t>
            </w:r>
          </w:p>
          <w:p w:rsidR="00A04DAE" w:rsidRPr="00652482" w:rsidRDefault="00A04DAE" w:rsidP="00606004">
            <w:pPr>
              <w:wordWrap w:val="0"/>
              <w:topLinePunct/>
              <w:autoSpaceDN w:val="0"/>
              <w:adjustRightInd w:val="0"/>
              <w:snapToGrid w:val="0"/>
              <w:spacing w:line="290" w:lineRule="atLeast"/>
              <w:ind w:firstLineChars="200" w:firstLine="436"/>
              <w:rPr>
                <w:rFonts w:ascii="한컴바탕" w:eastAsia="한컴바탕" w:hAnsi="한컴바탕" w:cs="한컴바탕" w:hint="eastAsia"/>
                <w:szCs w:val="21"/>
                <w:lang w:eastAsia="ko-KR"/>
              </w:rPr>
            </w:pPr>
            <w:r w:rsidRPr="00606004">
              <w:rPr>
                <w:rFonts w:ascii="한컴바탕" w:eastAsia="한컴바탕" w:hAnsi="한컴바탕" w:cs="한컴바탕" w:hint="eastAsia"/>
                <w:b/>
                <w:spacing w:val="6"/>
                <w:szCs w:val="21"/>
                <w:lang w:eastAsia="ko-KR"/>
              </w:rPr>
              <w:t>제14조</w:t>
            </w:r>
            <w:r w:rsidRPr="00606004">
              <w:rPr>
                <w:rFonts w:ascii="한컴바탕" w:eastAsia="한컴바탕" w:hAnsi="한컴바탕" w:cs="한컴바탕" w:hint="eastAsia"/>
                <w:spacing w:val="6"/>
                <w:szCs w:val="21"/>
                <w:lang w:eastAsia="ko-KR"/>
              </w:rPr>
              <w:t xml:space="preserve"> 기금수입은 정부의 수지분류 과목 중 103류 01관 75항 “폐기 전기전가제품 처리기금 수입”(신설)하의 관련 과목으로 열거한다</w:t>
            </w:r>
            <w:r w:rsidRPr="00652482">
              <w:rPr>
                <w:rFonts w:ascii="한컴바탕" w:eastAsia="한컴바탕" w:hAnsi="한컴바탕" w:cs="한컴바탕" w:hint="eastAsia"/>
                <w:szCs w:val="21"/>
                <w:lang w:eastAsia="ko-KR"/>
              </w:rPr>
              <w:t xml:space="preserve">.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제15조</w:t>
            </w:r>
            <w:r w:rsidRPr="00652482">
              <w:rPr>
                <w:rFonts w:ascii="한컴바탕" w:eastAsia="한컴바탕" w:hAnsi="한컴바탕" w:cs="한컴바탕" w:hint="eastAsia"/>
                <w:szCs w:val="21"/>
                <w:lang w:eastAsia="ko-KR"/>
              </w:rPr>
              <w:t xml:space="preserve"> 국무원 비준 또는 수권을 거치지 않고 지방, 부서, 단위 등이 독단적으로 기금을 감면할 수 없으며, 기금징수 대상, 범위와 표준을 변경할 수 없다.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제16조</w:t>
            </w:r>
            <w:r w:rsidRPr="00652482">
              <w:rPr>
                <w:rFonts w:ascii="한컴바탕" w:eastAsia="한컴바탕" w:hAnsi="한컴바탕" w:cs="한컴바탕" w:hint="eastAsia"/>
                <w:szCs w:val="21"/>
                <w:lang w:eastAsia="ko-KR"/>
              </w:rPr>
              <w:t xml:space="preserve"> 전기전자제품 생산자, 전기전자제품을 수입하는 수하인 또는 그 대리인이 납부한 기금은 생산경영원가에 산입하며, 소득세액 계산시 공제할 수 있다.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제3장 사용관리</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제17조</w:t>
            </w:r>
            <w:r w:rsidRPr="00652482">
              <w:rPr>
                <w:rFonts w:ascii="한컴바탕" w:eastAsia="한컴바탕" w:hAnsi="한컴바탕" w:cs="한컴바탕" w:hint="eastAsia"/>
                <w:szCs w:val="21"/>
                <w:lang w:eastAsia="ko-KR"/>
              </w:rPr>
              <w:t xml:space="preserve"> 기금사용범위는 다음을 포함한다.</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(1) 폐기 전기전자제품 회수처리 비용 보조금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(2) 폐기 전기전자제품 회수처리와 전기전자제품 생산판매 정보관리 시스템 건설 및 관련 정보 수집발표 지출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(3) 기금 징수관리 경비 지출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(4) 재정부의 비준을 거친 폐기 전기전자제품 회수처리와 관련된 기타 지출.</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제18조</w:t>
            </w:r>
            <w:r w:rsidRPr="00652482">
              <w:rPr>
                <w:rFonts w:ascii="한컴바탕" w:eastAsia="한컴바탕" w:hAnsi="한컴바탕" w:cs="한컴바탕" w:hint="eastAsia"/>
                <w:szCs w:val="21"/>
                <w:lang w:eastAsia="ko-KR"/>
              </w:rPr>
              <w:t xml:space="preserve"> 《조례》와 《폐기 전기전가제품 처리자격 허가 관리방법》(</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령</w:t>
            </w:r>
            <w:proofErr w:type="spellEnd"/>
            <w:r w:rsidRPr="00652482">
              <w:rPr>
                <w:rFonts w:ascii="한컴바탕" w:eastAsia="한컴바탕" w:hAnsi="한컴바탕" w:cs="한컴바탕" w:hint="eastAsia"/>
                <w:szCs w:val="21"/>
                <w:lang w:eastAsia="ko-KR"/>
              </w:rPr>
              <w:t xml:space="preserve"> 제13호)의 규정에 따라 폐기 전기전자제품의 처리자격을 취득한 기업(이하 “처리기업”)은 《목록》에 포함된 폐기 전기전자제품에 대해 처리를 진행하고 기금 보조금을 신청할 수 있다.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기금 보조금을 받는 기업 명단은 </w:t>
            </w:r>
            <w:proofErr w:type="spellStart"/>
            <w:r w:rsidRPr="00652482">
              <w:rPr>
                <w:rFonts w:ascii="한컴바탕" w:eastAsia="한컴바탕" w:hAnsi="한컴바탕" w:cs="한컴바탕" w:hint="eastAsia"/>
                <w:szCs w:val="21"/>
                <w:lang w:eastAsia="ko-KR"/>
              </w:rPr>
              <w:t>재정부</w:t>
            </w:r>
            <w:proofErr w:type="spellEnd"/>
            <w:r w:rsidRPr="00652482">
              <w:rPr>
                <w:rFonts w:ascii="한컴바탕" w:eastAsia="한컴바탕" w:hAnsi="한컴바탕" w:cs="한컴바탕" w:hint="eastAsia"/>
                <w:szCs w:val="21"/>
                <w:lang w:eastAsia="ko-KR"/>
              </w:rPr>
              <w:t xml:space="preserve">, 환경보호부가 국가발전개혁위원회, 공업 및 </w:t>
            </w:r>
            <w:proofErr w:type="spellStart"/>
            <w:r w:rsidRPr="00652482">
              <w:rPr>
                <w:rFonts w:ascii="한컴바탕" w:eastAsia="한컴바탕" w:hAnsi="한컴바탕" w:cs="한컴바탕" w:hint="eastAsia"/>
                <w:szCs w:val="21"/>
                <w:lang w:eastAsia="ko-KR"/>
              </w:rPr>
              <w:t>정보화부와</w:t>
            </w:r>
            <w:proofErr w:type="spellEnd"/>
            <w:r w:rsidRPr="00652482">
              <w:rPr>
                <w:rFonts w:ascii="한컴바탕" w:eastAsia="한컴바탕" w:hAnsi="한컴바탕" w:cs="한컴바탕" w:hint="eastAsia"/>
                <w:szCs w:val="21"/>
                <w:lang w:eastAsia="ko-KR"/>
              </w:rPr>
              <w:t xml:space="preserve"> 협의하여 사회에 공포한다.</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제19조</w:t>
            </w:r>
            <w:r w:rsidRPr="00652482">
              <w:rPr>
                <w:rFonts w:ascii="한컴바탕" w:eastAsia="한컴바탕" w:hAnsi="한컴바탕" w:cs="한컴바탕" w:hint="eastAsia"/>
                <w:szCs w:val="21"/>
                <w:lang w:eastAsia="ko-KR"/>
              </w:rPr>
              <w:t xml:space="preserve"> 국가는 전기전자제품 생산자가 자발적으로《목록》에 포함된 폐기 전기전자제품을 회수하는 것을 장려한다. 각 성(구, 시)의 환경보호 주관부문은 해당지역의 폐기 전기전자제품 처리 </w:t>
            </w:r>
            <w:proofErr w:type="spellStart"/>
            <w:r w:rsidRPr="00652482">
              <w:rPr>
                <w:rFonts w:ascii="한컴바탕" w:eastAsia="한컴바탕" w:hAnsi="한컴바탕" w:cs="한컴바탕" w:hint="eastAsia"/>
                <w:szCs w:val="21"/>
                <w:lang w:eastAsia="ko-KR"/>
              </w:rPr>
              <w:t>발전규획</w:t>
            </w:r>
            <w:proofErr w:type="spellEnd"/>
            <w:r w:rsidRPr="00652482">
              <w:rPr>
                <w:rFonts w:ascii="한컴바탕" w:eastAsia="한컴바탕" w:hAnsi="한컴바탕" w:cs="한컴바탕" w:hint="eastAsia"/>
                <w:szCs w:val="21"/>
                <w:lang w:eastAsia="ko-KR"/>
              </w:rPr>
              <w:t xml:space="preserve"> 수립 시, 전기전자제품 생산자가 처리기업을 설립하는 것을 우선적으로 지원해야 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제20조</w:t>
            </w:r>
            <w:r w:rsidRPr="00652482">
              <w:rPr>
                <w:rFonts w:ascii="한컴바탕" w:eastAsia="한컴바탕" w:hAnsi="한컴바탕" w:cs="한컴바탕" w:hint="eastAsia"/>
                <w:szCs w:val="21"/>
                <w:lang w:eastAsia="ko-KR"/>
              </w:rPr>
              <w:t xml:space="preserve"> 처리기업이 실제 분해 처리한 폐기 전기전자제품 수량에 따라 정액보조금을 지급</w:t>
            </w:r>
            <w:r w:rsidRPr="00652482">
              <w:rPr>
                <w:rFonts w:ascii="한컴바탕" w:eastAsia="한컴바탕" w:hAnsi="한컴바탕" w:cs="한컴바탕" w:hint="eastAsia"/>
                <w:szCs w:val="21"/>
                <w:lang w:eastAsia="ko-KR"/>
              </w:rPr>
              <w:lastRenderedPageBreak/>
              <w:t>한다.</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기금보조금 표준은, 텔레비전은 85위안/대, 냉장고는 80위안/대, 세탁기는 35위안/대, 실내에어컨은 35위안/대, </w:t>
            </w:r>
            <w:proofErr w:type="spellStart"/>
            <w:r w:rsidRPr="00652482">
              <w:rPr>
                <w:rFonts w:ascii="한컴바탕" w:eastAsia="한컴바탕" w:hAnsi="한컴바탕" w:cs="한컴바탕" w:hint="eastAsia"/>
                <w:szCs w:val="21"/>
                <w:lang w:eastAsia="ko-KR"/>
              </w:rPr>
              <w:t>소형컴퓨터은</w:t>
            </w:r>
            <w:proofErr w:type="spellEnd"/>
            <w:r w:rsidRPr="00652482">
              <w:rPr>
                <w:rFonts w:ascii="한컴바탕" w:eastAsia="한컴바탕" w:hAnsi="한컴바탕" w:cs="한컴바탕" w:hint="eastAsia"/>
                <w:szCs w:val="21"/>
                <w:lang w:eastAsia="ko-KR"/>
              </w:rPr>
              <w:t xml:space="preserve"> 85위안/대로 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상기의 실제 분해 처리한 폐기 전기전자제품은 완제품을 뜻하며, 부품 또는 부속품은 포함하지 않는다.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652482">
              <w:rPr>
                <w:rFonts w:ascii="한컴바탕" w:eastAsia="한컴바탕" w:hAnsi="한컴바탕" w:cs="한컴바탕" w:hint="eastAsia"/>
                <w:szCs w:val="21"/>
                <w:lang w:eastAsia="ko-KR"/>
              </w:rPr>
              <w:t>재정부는</w:t>
            </w:r>
            <w:proofErr w:type="spellEnd"/>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국가발전개혁위원회, 공업 및 </w:t>
            </w:r>
            <w:proofErr w:type="spellStart"/>
            <w:r w:rsidRPr="00652482">
              <w:rPr>
                <w:rFonts w:ascii="한컴바탕" w:eastAsia="한컴바탕" w:hAnsi="한컴바탕" w:cs="한컴바탕" w:hint="eastAsia"/>
                <w:szCs w:val="21"/>
                <w:lang w:eastAsia="ko-KR"/>
              </w:rPr>
              <w:t>정보화부와</w:t>
            </w:r>
            <w:proofErr w:type="spellEnd"/>
            <w:r w:rsidRPr="00652482">
              <w:rPr>
                <w:rFonts w:ascii="한컴바탕" w:eastAsia="한컴바탕" w:hAnsi="한컴바탕" w:cs="한컴바탕" w:hint="eastAsia"/>
                <w:szCs w:val="21"/>
                <w:lang w:eastAsia="ko-KR"/>
              </w:rPr>
              <w:t xml:space="preserve"> 협의하여 폐기 전기전자제품 회수처리 원가변동 상황에 따라 유관 기업과 업종협회 의견을 수렴하여 기금 보조금 표준을 적절히 조정한다.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제21조</w:t>
            </w:r>
            <w:r w:rsidRPr="00652482">
              <w:rPr>
                <w:rFonts w:ascii="한컴바탕" w:eastAsia="한컴바탕" w:hAnsi="한컴바탕" w:cs="한컴바탕" w:hint="eastAsia"/>
                <w:szCs w:val="21"/>
                <w:lang w:eastAsia="ko-KR"/>
              </w:rPr>
              <w:t xml:space="preserve"> 처리기업의 폐기 전기전자제품 분해 처리는 국가의 유관 자원종합이용, 환경보호 요구와 관련 기술규범에 부합해야 하며, 환경보호부가 제정한 사정방법에 따라 폐기 전자전기제품의 분해 처리 수량을 심사한 후, 기금 보조금을 수령할 수 있다.</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제22조</w:t>
            </w:r>
            <w:r w:rsidRPr="00652482">
              <w:rPr>
                <w:rFonts w:ascii="한컴바탕" w:eastAsia="한컴바탕" w:hAnsi="한컴바탕" w:cs="한컴바탕" w:hint="eastAsia"/>
                <w:szCs w:val="21"/>
                <w:lang w:eastAsia="ko-KR"/>
              </w:rPr>
              <w:t xml:space="preserve"> 처리기업은 분기별로 분해 처리한 폐기 전기전자제품의 종류, 수량에 대해 통계를 내고 《폐기 전기전자제품 분해처리 상황표》</w:t>
            </w:r>
            <w:proofErr w:type="spellStart"/>
            <w:r w:rsidRPr="00652482">
              <w:rPr>
                <w:rFonts w:ascii="한컴바탕" w:eastAsia="한컴바탕" w:hAnsi="한컴바탕" w:cs="한컴바탕" w:hint="eastAsia"/>
                <w:szCs w:val="21"/>
                <w:lang w:eastAsia="ko-KR"/>
              </w:rPr>
              <w:t>를</w:t>
            </w:r>
            <w:proofErr w:type="spellEnd"/>
            <w:r w:rsidRPr="00652482">
              <w:rPr>
                <w:rFonts w:ascii="한컴바탕" w:eastAsia="한컴바탕" w:hAnsi="한컴바탕" w:cs="한컴바탕" w:hint="eastAsia"/>
                <w:szCs w:val="21"/>
                <w:lang w:eastAsia="ko-KR"/>
              </w:rPr>
              <w:t xml:space="preserve"> 작성하여 각 분기완료 익월의 5일 전까지 각 성(구, 시)의 환경보호 주관부문에 보고한다.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제23조</w:t>
            </w:r>
            <w:r w:rsidRPr="00652482">
              <w:rPr>
                <w:rFonts w:ascii="한컴바탕" w:eastAsia="한컴바탕" w:hAnsi="한컴바탕" w:cs="한컴바탕" w:hint="eastAsia"/>
                <w:szCs w:val="21"/>
                <w:lang w:eastAsia="ko-KR"/>
              </w:rPr>
              <w:t xml:space="preserve"> 처리기업이 《폐기 전기전자제품 분해처리 </w:t>
            </w:r>
            <w:proofErr w:type="spellStart"/>
            <w:r w:rsidRPr="00652482">
              <w:rPr>
                <w:rFonts w:ascii="한컴바탕" w:eastAsia="한컴바탕" w:hAnsi="한컴바탕" w:cs="한컴바탕" w:hint="eastAsia"/>
                <w:szCs w:val="21"/>
                <w:lang w:eastAsia="ko-KR"/>
              </w:rPr>
              <w:t>정황표</w:t>
            </w:r>
            <w:proofErr w:type="spellEnd"/>
            <w:r w:rsidRPr="00652482">
              <w:rPr>
                <w:rFonts w:ascii="한컴바탕" w:eastAsia="한컴바탕" w:hAnsi="한컴바탕" w:cs="한컴바탕" w:hint="eastAsia"/>
                <w:szCs w:val="21"/>
                <w:lang w:eastAsia="ko-KR"/>
              </w:rPr>
              <w:t>》</w:t>
            </w:r>
            <w:proofErr w:type="spellStart"/>
            <w:r w:rsidRPr="00652482">
              <w:rPr>
                <w:rFonts w:ascii="한컴바탕" w:eastAsia="한컴바탕" w:hAnsi="한컴바탕" w:cs="한컴바탕" w:hint="eastAsia"/>
                <w:szCs w:val="21"/>
                <w:lang w:eastAsia="ko-KR"/>
              </w:rPr>
              <w:t>를</w:t>
            </w:r>
            <w:proofErr w:type="spellEnd"/>
            <w:r w:rsidRPr="00652482">
              <w:rPr>
                <w:rFonts w:ascii="한컴바탕" w:eastAsia="한컴바탕" w:hAnsi="한컴바탕" w:cs="한컴바탕" w:hint="eastAsia"/>
                <w:szCs w:val="21"/>
                <w:lang w:eastAsia="ko-KR"/>
              </w:rPr>
              <w:t xml:space="preserve"> 보고할 때, 아래의 자료를 함께 제출해야 한다.</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(1) 폐기 전기전자제품 입출고 기록 </w:t>
            </w:r>
            <w:proofErr w:type="spellStart"/>
            <w:r w:rsidRPr="00652482">
              <w:rPr>
                <w:rFonts w:ascii="한컴바탕" w:eastAsia="한컴바탕" w:hAnsi="한컴바탕" w:cs="한컴바탕" w:hint="eastAsia"/>
                <w:szCs w:val="21"/>
                <w:lang w:eastAsia="ko-KR"/>
              </w:rPr>
              <w:t>보고표</w:t>
            </w:r>
            <w:proofErr w:type="spellEnd"/>
            <w:r w:rsidRPr="00652482">
              <w:rPr>
                <w:rFonts w:ascii="한컴바탕" w:eastAsia="한컴바탕" w:hAnsi="한컴바탕" w:cs="한컴바탕" w:hint="eastAsia"/>
                <w:szCs w:val="21"/>
                <w:lang w:eastAsia="ko-KR"/>
              </w:rPr>
              <w:t xml:space="preserve">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(2) 폐기 전기전자제품 분해 처리 업무 기록 </w:t>
            </w:r>
            <w:proofErr w:type="spellStart"/>
            <w:r w:rsidRPr="00652482">
              <w:rPr>
                <w:rFonts w:ascii="한컴바탕" w:eastAsia="한컴바탕" w:hAnsi="한컴바탕" w:cs="한컴바탕" w:hint="eastAsia"/>
                <w:szCs w:val="21"/>
                <w:lang w:eastAsia="ko-KR"/>
              </w:rPr>
              <w:t>보고표</w:t>
            </w:r>
            <w:proofErr w:type="spellEnd"/>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(3) 폐기 전기전자제품 분해 산출물 입출고 기록 </w:t>
            </w:r>
            <w:proofErr w:type="spellStart"/>
            <w:r w:rsidRPr="00652482">
              <w:rPr>
                <w:rFonts w:ascii="한컴바탕" w:eastAsia="한컴바탕" w:hAnsi="한컴바탕" w:cs="한컴바탕" w:hint="eastAsia"/>
                <w:szCs w:val="21"/>
                <w:lang w:eastAsia="ko-KR"/>
              </w:rPr>
              <w:t>보고표</w:t>
            </w:r>
            <w:proofErr w:type="spellEnd"/>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(4) 폐기 전기전자제품 분해 산출물 판매증빙 또는 처리증명.</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유관 </w:t>
            </w:r>
            <w:proofErr w:type="spellStart"/>
            <w:r w:rsidRPr="00652482">
              <w:rPr>
                <w:rFonts w:ascii="한컴바탕" w:eastAsia="한컴바탕" w:hAnsi="한컴바탕" w:cs="한컴바탕" w:hint="eastAsia"/>
                <w:szCs w:val="21"/>
                <w:lang w:eastAsia="ko-KR"/>
              </w:rPr>
              <w:t>보고표와</w:t>
            </w:r>
            <w:proofErr w:type="spellEnd"/>
            <w:r w:rsidRPr="00652482">
              <w:rPr>
                <w:rFonts w:ascii="한컴바탕" w:eastAsia="한컴바탕" w:hAnsi="한컴바탕" w:cs="한컴바탕" w:hint="eastAsia"/>
                <w:szCs w:val="21"/>
                <w:lang w:eastAsia="ko-KR"/>
              </w:rPr>
              <w:t xml:space="preserve"> 증빙은 환경보호부가 일률적으로 규정한 서식에 따라 보고한다.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제24조</w:t>
            </w:r>
            <w:r w:rsidRPr="00652482">
              <w:rPr>
                <w:rFonts w:ascii="한컴바탕" w:eastAsia="한컴바탕" w:hAnsi="한컴바탕" w:cs="한컴바탕" w:hint="eastAsia"/>
                <w:szCs w:val="21"/>
                <w:lang w:eastAsia="ko-KR"/>
              </w:rPr>
              <w:t xml:space="preserve"> 각 성(구, 시)의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주관부문은 처리기업이 보고한 《폐기 전기전자제품 분해처리 상황표》 및 유관 자료를 접수한 후 사정업무를 조직 전개한다. 각 분기완료 익월의 월말 전까지 사정의견을 처리기업이 작성한 《폐기 전기전자제품 분해처리 상황표》와 함께 서면형식으로 </w:t>
            </w:r>
            <w:proofErr w:type="spellStart"/>
            <w:r w:rsidRPr="00652482">
              <w:rPr>
                <w:rFonts w:ascii="한컴바탕" w:eastAsia="한컴바탕" w:hAnsi="한컴바탕" w:cs="한컴바탕" w:hint="eastAsia"/>
                <w:szCs w:val="21"/>
                <w:lang w:eastAsia="ko-KR"/>
              </w:rPr>
              <w:t>환경보호부에</w:t>
            </w:r>
            <w:proofErr w:type="spellEnd"/>
            <w:r w:rsidRPr="00652482">
              <w:rPr>
                <w:rFonts w:ascii="한컴바탕" w:eastAsia="한컴바탕" w:hAnsi="한컴바탕" w:cs="한컴바탕" w:hint="eastAsia"/>
                <w:szCs w:val="21"/>
                <w:lang w:eastAsia="ko-KR"/>
              </w:rPr>
              <w:t xml:space="preserve"> 보고한다.</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652482">
              <w:rPr>
                <w:rFonts w:ascii="한컴바탕" w:eastAsia="한컴바탕" w:hAnsi="한컴바탕" w:cs="한컴바탕" w:hint="eastAsia"/>
                <w:szCs w:val="21"/>
                <w:lang w:eastAsia="ko-KR"/>
              </w:rPr>
              <w:t>환경보호부는</w:t>
            </w:r>
            <w:proofErr w:type="spellEnd"/>
            <w:r w:rsidRPr="00652482">
              <w:rPr>
                <w:rFonts w:ascii="한컴바탕" w:eastAsia="한컴바탕" w:hAnsi="한컴바탕" w:cs="한컴바탕" w:hint="eastAsia"/>
                <w:szCs w:val="21"/>
                <w:lang w:eastAsia="ko-KR"/>
              </w:rPr>
              <w:t xml:space="preserve"> 각 성(구, 시)의 환경보호 </w:t>
            </w:r>
            <w:r w:rsidRPr="00652482">
              <w:rPr>
                <w:rFonts w:ascii="한컴바탕" w:eastAsia="한컴바탕" w:hAnsi="한컴바탕" w:cs="한컴바탕" w:hint="eastAsia"/>
                <w:szCs w:val="21"/>
                <w:lang w:eastAsia="ko-KR"/>
              </w:rPr>
              <w:lastRenderedPageBreak/>
              <w:t xml:space="preserve">주관부문이 보고한 정황에 대해 심사를 진행하는 것을 담당하며, 모든 처리기업이 분해 처리한 폐기 전기전자제품의 종류, 수량을 확인하고 종합하여 </w:t>
            </w:r>
            <w:proofErr w:type="spellStart"/>
            <w:r w:rsidRPr="00652482">
              <w:rPr>
                <w:rFonts w:ascii="한컴바탕" w:eastAsia="한컴바탕" w:hAnsi="한컴바탕" w:cs="한컴바탕" w:hint="eastAsia"/>
                <w:szCs w:val="21"/>
                <w:lang w:eastAsia="ko-KR"/>
              </w:rPr>
              <w:t>재정부에</w:t>
            </w:r>
            <w:proofErr w:type="spellEnd"/>
            <w:r w:rsidRPr="00652482">
              <w:rPr>
                <w:rFonts w:ascii="한컴바탕" w:eastAsia="한컴바탕" w:hAnsi="한컴바탕" w:cs="한컴바탕" w:hint="eastAsia"/>
                <w:szCs w:val="21"/>
                <w:lang w:eastAsia="ko-KR"/>
              </w:rPr>
              <w:t xml:space="preserve"> 제출한다.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652482">
              <w:rPr>
                <w:rFonts w:ascii="한컴바탕" w:eastAsia="한컴바탕" w:hAnsi="한컴바탕" w:cs="한컴바탕" w:hint="eastAsia"/>
                <w:szCs w:val="21"/>
                <w:lang w:eastAsia="ko-KR"/>
              </w:rPr>
              <w:t>재정부는</w:t>
            </w:r>
            <w:proofErr w:type="spellEnd"/>
            <w:r w:rsidRPr="00652482">
              <w:rPr>
                <w:rFonts w:ascii="한컴바탕" w:eastAsia="한컴바탕" w:hAnsi="한컴바탕" w:cs="한컴바탕" w:hint="eastAsia"/>
                <w:szCs w:val="21"/>
                <w:lang w:eastAsia="ko-KR"/>
              </w:rPr>
              <w:t xml:space="preserve"> 환경보호부가 제출한 폐기 전기전자제품 분해 처리 종류, 수량과 기금 보조금 표준에 따라 모든 처리기업의 보조금 금액을 책정하고 자금을 지불한다. 자금지불은 국고 집중 지불제도 유관규정에 따라 집행한다.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제25조</w:t>
            </w:r>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세무총국, 해관총서 등 유관부문은 </w:t>
            </w:r>
            <w:proofErr w:type="spellStart"/>
            <w:r w:rsidRPr="00652482">
              <w:rPr>
                <w:rFonts w:ascii="한컴바탕" w:eastAsia="한컴바탕" w:hAnsi="한컴바탕" w:cs="한컴바탕" w:hint="eastAsia"/>
                <w:szCs w:val="21"/>
                <w:lang w:eastAsia="ko-KR"/>
              </w:rPr>
              <w:t>중앙정부성</w:t>
            </w:r>
            <w:proofErr w:type="spellEnd"/>
            <w:r w:rsidRPr="00652482">
              <w:rPr>
                <w:rFonts w:ascii="한컴바탕" w:eastAsia="한컴바탕" w:hAnsi="한컴바탕" w:cs="한컴바탕" w:hint="eastAsia"/>
                <w:szCs w:val="21"/>
                <w:lang w:eastAsia="ko-KR"/>
              </w:rPr>
              <w:t xml:space="preserve"> 기금 예산 편제요구에 따라 연도 기금 지출예산을 편제하고 </w:t>
            </w:r>
            <w:proofErr w:type="spellStart"/>
            <w:r w:rsidRPr="00652482">
              <w:rPr>
                <w:rFonts w:ascii="한컴바탕" w:eastAsia="한컴바탕" w:hAnsi="한컴바탕" w:cs="한컴바탕" w:hint="eastAsia"/>
                <w:szCs w:val="21"/>
                <w:lang w:eastAsia="ko-KR"/>
              </w:rPr>
              <w:t>재정부에</w:t>
            </w:r>
            <w:proofErr w:type="spellEnd"/>
            <w:r w:rsidRPr="00652482">
              <w:rPr>
                <w:rFonts w:ascii="한컴바탕" w:eastAsia="한컴바탕" w:hAnsi="한컴바탕" w:cs="한컴바탕" w:hint="eastAsia"/>
                <w:szCs w:val="21"/>
                <w:lang w:eastAsia="ko-KR"/>
              </w:rPr>
              <w:t xml:space="preserve"> 보고하여 심사한다.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652482">
              <w:rPr>
                <w:rFonts w:ascii="한컴바탕" w:eastAsia="한컴바탕" w:hAnsi="한컴바탕" w:cs="한컴바탕" w:hint="eastAsia"/>
                <w:szCs w:val="21"/>
                <w:lang w:eastAsia="ko-KR"/>
              </w:rPr>
              <w:t>재정부는</w:t>
            </w:r>
            <w:proofErr w:type="spellEnd"/>
            <w:r w:rsidRPr="00652482">
              <w:rPr>
                <w:rFonts w:ascii="한컴바탕" w:eastAsia="한컴바탕" w:hAnsi="한컴바탕" w:cs="한컴바탕" w:hint="eastAsia"/>
                <w:szCs w:val="21"/>
                <w:lang w:eastAsia="ko-KR"/>
              </w:rPr>
              <w:t xml:space="preserve"> 예산관리 규정에 따라 기금지출 예산을 심사하고 유관기관에 회답한다.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제26조</w:t>
            </w:r>
            <w:r w:rsidRPr="00652482">
              <w:rPr>
                <w:rFonts w:ascii="한컴바탕" w:eastAsia="한컴바탕" w:hAnsi="한컴바탕" w:cs="한컴바탕" w:hint="eastAsia"/>
                <w:szCs w:val="21"/>
                <w:lang w:eastAsia="ko-KR"/>
              </w:rPr>
              <w:t xml:space="preserve"> 기금지출은 정부 수지분류 과목 중 221류 61관 “폐기 전기전자제품 처리기금 지출”(신설)로 분류한다.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제4장 감독관리</w:t>
            </w:r>
          </w:p>
          <w:p w:rsidR="00A04DAE" w:rsidRPr="00606004" w:rsidRDefault="00A04DAE" w:rsidP="00606004">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606004">
              <w:rPr>
                <w:rFonts w:ascii="한컴바탕" w:eastAsia="한컴바탕" w:hAnsi="한컴바탕" w:cs="한컴바탕" w:hint="eastAsia"/>
                <w:b/>
                <w:spacing w:val="-2"/>
                <w:szCs w:val="21"/>
                <w:lang w:eastAsia="ko-KR"/>
              </w:rPr>
              <w:t xml:space="preserve">제27조 </w:t>
            </w:r>
            <w:r w:rsidRPr="00606004">
              <w:rPr>
                <w:rFonts w:ascii="한컴바탕" w:eastAsia="한컴바탕" w:hAnsi="한컴바탕" w:cs="한컴바탕" w:hint="eastAsia"/>
                <w:spacing w:val="-2"/>
                <w:szCs w:val="21"/>
                <w:lang w:eastAsia="ko-KR"/>
              </w:rPr>
              <w:t xml:space="preserve">전기전자제품 생산자, 전기전자제품을 수입하는 수하인 또는 기타 대리인은 각각 국가세무총국, 세관에 전기전자제품의 판매와 수입에 관한 기본 데이터 및 현황을 보고해야 한다. </w:t>
            </w:r>
            <w:r w:rsidR="00606004" w:rsidRPr="00606004">
              <w:rPr>
                <w:rFonts w:ascii="한컴바탕" w:eastAsia="한컴바탕" w:hAnsi="한컴바탕" w:cs="한컴바탕" w:hint="eastAsia"/>
                <w:spacing w:val="-2"/>
                <w:szCs w:val="21"/>
                <w:lang w:eastAsia="ko-KR"/>
              </w:rPr>
              <w:t xml:space="preserve">또한 신고납부기금에 대한 규정에 따라 </w:t>
            </w:r>
            <w:proofErr w:type="spellStart"/>
            <w:r w:rsidR="00606004" w:rsidRPr="00606004">
              <w:rPr>
                <w:rFonts w:ascii="한컴바탕" w:eastAsia="한컴바탕" w:hAnsi="한컴바탕" w:cs="한컴바탕" w:hint="eastAsia"/>
                <w:spacing w:val="-2"/>
                <w:szCs w:val="21"/>
                <w:lang w:eastAsia="ko-KR"/>
              </w:rPr>
              <w:t>국가세무국</w:t>
            </w:r>
            <w:proofErr w:type="spellEnd"/>
            <w:r w:rsidR="00606004" w:rsidRPr="00606004">
              <w:rPr>
                <w:rFonts w:ascii="한컴바탕" w:eastAsia="한컴바탕" w:hAnsi="한컴바탕" w:cs="한컴바탕" w:hint="eastAsia"/>
                <w:spacing w:val="-2"/>
                <w:szCs w:val="21"/>
                <w:lang w:eastAsia="ko-KR"/>
              </w:rPr>
              <w:t>, 해관의 감독검사를 받아야 한다.</w:t>
            </w:r>
          </w:p>
          <w:p w:rsidR="00A04DAE" w:rsidRPr="00606004" w:rsidRDefault="00A04DAE" w:rsidP="00606004">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606004">
              <w:rPr>
                <w:rFonts w:ascii="한컴바탕" w:eastAsia="한컴바탕" w:hAnsi="한컴바탕" w:cs="한컴바탕" w:hint="eastAsia"/>
                <w:b/>
                <w:spacing w:val="-4"/>
                <w:szCs w:val="21"/>
                <w:lang w:eastAsia="ko-KR"/>
              </w:rPr>
              <w:t>제28조</w:t>
            </w:r>
            <w:r w:rsidRPr="00606004">
              <w:rPr>
                <w:rFonts w:ascii="한컴바탕" w:eastAsia="한컴바탕" w:hAnsi="한컴바탕" w:cs="한컴바탕" w:hint="eastAsia"/>
                <w:spacing w:val="-4"/>
                <w:szCs w:val="21"/>
                <w:lang w:eastAsia="ko-KR"/>
              </w:rPr>
              <w:t xml:space="preserve"> 처리기업은 규정에 근거, 폐기 전기전자제품의 데이터정보 관리시스템을 구축하여 폐기 전기전자제품의 접수, 보관 및 처리, 분해 산출물의 입출고 및 판매, 최종 폐기물의 입출고 및 처리 등 정보에 대한 기록을 추적하고, 폐기 전기전자제품이 기업 내부에서 운영되는 과정을 전면 반영해야 한다. 또한 환경보호 등 주관부문에 폐기 전기전자제품의 회수 및 분해 처리한 기본데이터와 현황을 사실대로 보고해야 한다.  </w:t>
            </w:r>
          </w:p>
          <w:p w:rsidR="00A04DAE" w:rsidRPr="00606004" w:rsidRDefault="00A04DAE" w:rsidP="00606004">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606004">
              <w:rPr>
                <w:rFonts w:ascii="한컴바탕" w:eastAsia="한컴바탕" w:hAnsi="한컴바탕" w:cs="한컴바탕" w:hint="eastAsia"/>
                <w:b/>
                <w:spacing w:val="-6"/>
                <w:szCs w:val="21"/>
                <w:lang w:eastAsia="ko-KR"/>
              </w:rPr>
              <w:t>제29조</w:t>
            </w:r>
            <w:r w:rsidRPr="00606004">
              <w:rPr>
                <w:rFonts w:ascii="한컴바탕" w:eastAsia="한컴바탕" w:hAnsi="한컴바탕" w:cs="한컴바탕" w:hint="eastAsia"/>
                <w:spacing w:val="-6"/>
                <w:szCs w:val="21"/>
                <w:lang w:eastAsia="ko-KR"/>
              </w:rPr>
              <w:t xml:space="preserve"> 처리기업이 기금보조금을 신청하는 관련자료 및 폐기 전기전자제품의 회수와 분해 처리한 상황을 기록한 원본 증빙자료를 적절하게 보존하여 비치해야 한다. 보존기한은 5년 이상이다. </w:t>
            </w:r>
          </w:p>
          <w:p w:rsidR="00A04DAE" w:rsidRPr="00606004" w:rsidRDefault="00A04DAE" w:rsidP="00606004">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606004">
              <w:rPr>
                <w:rFonts w:ascii="한컴바탕" w:eastAsia="한컴바탕" w:hAnsi="한컴바탕" w:cs="한컴바탕" w:hint="eastAsia"/>
                <w:b/>
                <w:spacing w:val="-2"/>
                <w:szCs w:val="21"/>
                <w:lang w:eastAsia="ko-KR"/>
              </w:rPr>
              <w:t>제30조</w:t>
            </w:r>
            <w:r w:rsidRPr="00606004">
              <w:rPr>
                <w:rFonts w:ascii="한컴바탕" w:eastAsia="한컴바탕" w:hAnsi="한컴바탕" w:cs="한컴바탕" w:hint="eastAsia"/>
                <w:spacing w:val="-2"/>
                <w:szCs w:val="21"/>
                <w:lang w:eastAsia="ko-KR"/>
              </w:rPr>
              <w:t xml:space="preserve"> </w:t>
            </w:r>
            <w:proofErr w:type="spellStart"/>
            <w:r w:rsidRPr="00606004">
              <w:rPr>
                <w:rFonts w:ascii="한컴바탕" w:eastAsia="한컴바탕" w:hAnsi="한컴바탕" w:cs="한컴바탕" w:hint="eastAsia"/>
                <w:spacing w:val="-2"/>
                <w:szCs w:val="21"/>
                <w:lang w:eastAsia="ko-KR"/>
              </w:rPr>
              <w:t>환경보호부와</w:t>
            </w:r>
            <w:proofErr w:type="spellEnd"/>
            <w:r w:rsidRPr="00606004">
              <w:rPr>
                <w:rFonts w:ascii="한컴바탕" w:eastAsia="한컴바탕" w:hAnsi="한컴바탕" w:cs="한컴바탕" w:hint="eastAsia"/>
                <w:spacing w:val="-2"/>
                <w:szCs w:val="21"/>
                <w:lang w:eastAsia="ko-KR"/>
              </w:rPr>
              <w:t xml:space="preserve"> 각 성(구, 시)의 환경보호 주관부문은 완벽한 기금보조금 사정제도를 구축해야 한다. 데이터 통계의 비교, 서면 대조검사, 현장조사 등의 방식을 통하여 폐기 전기전자제품의 분해 처리하는 환경조사 및 데이터 사정을 강화하고, 허위날조 및 허위로 사칭하여 보조금을 받아가는 등의 행위를 방지한다.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lastRenderedPageBreak/>
              <w:t>제31조</w:t>
            </w:r>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재정부는</w:t>
            </w:r>
            <w:proofErr w:type="spellEnd"/>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국가발전개혁위원회, 공업 및 </w:t>
            </w:r>
            <w:proofErr w:type="spellStart"/>
            <w:r w:rsidRPr="00652482">
              <w:rPr>
                <w:rFonts w:ascii="한컴바탕" w:eastAsia="한컴바탕" w:hAnsi="한컴바탕" w:cs="한컴바탕" w:hint="eastAsia"/>
                <w:szCs w:val="21"/>
                <w:lang w:eastAsia="ko-KR"/>
              </w:rPr>
              <w:t>정보화부와</w:t>
            </w:r>
            <w:proofErr w:type="spellEnd"/>
            <w:r w:rsidRPr="00652482">
              <w:rPr>
                <w:rFonts w:ascii="한컴바탕" w:eastAsia="한컴바탕" w:hAnsi="한컴바탕" w:cs="한컴바탕" w:hint="eastAsia"/>
                <w:szCs w:val="21"/>
                <w:lang w:eastAsia="ko-KR"/>
              </w:rPr>
              <w:t xml:space="preserve"> 협의하여 폐기 전기전자제품의 회수처리 및 생산판매를 실시간으로 감시하는 정보관리시스템(이하 ‘감시시스템’</w:t>
            </w:r>
            <w:proofErr w:type="spellStart"/>
            <w:r w:rsidRPr="00652482">
              <w:rPr>
                <w:rFonts w:ascii="한컴바탕" w:eastAsia="한컴바탕" w:hAnsi="한컴바탕" w:cs="한컴바탕" w:hint="eastAsia"/>
                <w:szCs w:val="21"/>
                <w:lang w:eastAsia="ko-KR"/>
              </w:rPr>
              <w:t>으로</w:t>
            </w:r>
            <w:proofErr w:type="spellEnd"/>
            <w:r w:rsidRPr="00652482">
              <w:rPr>
                <w:rFonts w:ascii="한컴바탕" w:eastAsia="한컴바탕" w:hAnsi="한컴바탕" w:cs="한컴바탕" w:hint="eastAsia"/>
                <w:szCs w:val="21"/>
                <w:lang w:eastAsia="ko-KR"/>
              </w:rPr>
              <w:t xml:space="preserve"> 통칭)을 구축한다.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652482">
              <w:rPr>
                <w:rFonts w:ascii="한컴바탕" w:eastAsia="한컴바탕" w:hAnsi="한컴바탕" w:cs="한컴바탕" w:hint="eastAsia"/>
                <w:szCs w:val="21"/>
                <w:lang w:eastAsia="ko-KR"/>
              </w:rPr>
              <w:t xml:space="preserve">처리기업과 전기전자제품 생산자는 유관부문과 협력하여 감시시스템을 구축해야 한다. 처리기업이 구축한 폐기 전기전자제품의 데이터정보 관리시스템은 감시시스템과 연결시켜야 한다. 전기전자제품 생산자는 감시시스템을 구축하는 요건에 따라 기업정보를 등록, 전기전자제품의 생산판매 현황을 보고해야 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제32조</w:t>
            </w:r>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재정부</w:t>
            </w:r>
            <w:proofErr w:type="spellEnd"/>
            <w:r w:rsidRPr="00652482">
              <w:rPr>
                <w:rFonts w:ascii="한컴바탕" w:eastAsia="한컴바탕" w:hAnsi="한컴바탕" w:cs="한컴바탕" w:hint="eastAsia"/>
                <w:szCs w:val="21"/>
                <w:lang w:eastAsia="ko-KR"/>
              </w:rPr>
              <w:t xml:space="preserve">, 심계서(审计署),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국가발전개혁위원회, 공업 및 </w:t>
            </w:r>
            <w:proofErr w:type="spellStart"/>
            <w:r w:rsidRPr="00652482">
              <w:rPr>
                <w:rFonts w:ascii="한컴바탕" w:eastAsia="한컴바탕" w:hAnsi="한컴바탕" w:cs="한컴바탕" w:hint="eastAsia"/>
                <w:szCs w:val="21"/>
                <w:lang w:eastAsia="ko-KR"/>
              </w:rPr>
              <w:t>정보화부</w:t>
            </w:r>
            <w:proofErr w:type="spellEnd"/>
            <w:r w:rsidRPr="00652482">
              <w:rPr>
                <w:rFonts w:ascii="한컴바탕" w:eastAsia="한컴바탕" w:hAnsi="한컴바탕" w:cs="한컴바탕" w:hint="eastAsia"/>
                <w:szCs w:val="21"/>
                <w:lang w:eastAsia="ko-KR"/>
              </w:rPr>
              <w:t xml:space="preserve">, 세무총국, 해관총서는 직무에 따라 기금납부 및 사용현황에 대한 감독조사를 강화해야 한다. 법에 의거하여 기금 규정과 법을 위반하는 행위에 대하여 처벌한다.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제33조</w:t>
            </w:r>
            <w:r w:rsidRPr="00652482">
              <w:rPr>
                <w:rFonts w:ascii="한컴바탕" w:eastAsia="한컴바탕" w:hAnsi="한컴바탕" w:cs="한컴바탕" w:hint="eastAsia"/>
                <w:szCs w:val="21"/>
                <w:lang w:eastAsia="ko-KR"/>
              </w:rPr>
              <w:t xml:space="preserve"> 유관 업종협회는 환경보호 주관부문과 </w:t>
            </w:r>
            <w:proofErr w:type="spellStart"/>
            <w:r w:rsidRPr="00652482">
              <w:rPr>
                <w:rFonts w:ascii="한컴바탕" w:eastAsia="한컴바탕" w:hAnsi="한컴바탕" w:cs="한컴바탕" w:hint="eastAsia"/>
                <w:szCs w:val="21"/>
                <w:lang w:eastAsia="ko-KR"/>
              </w:rPr>
              <w:t>재정부문와</w:t>
            </w:r>
            <w:proofErr w:type="spellEnd"/>
            <w:r w:rsidRPr="00652482">
              <w:rPr>
                <w:rFonts w:ascii="한컴바탕" w:eastAsia="한컴바탕" w:hAnsi="한컴바탕" w:cs="한컴바탕" w:hint="eastAsia"/>
                <w:szCs w:val="21"/>
                <w:lang w:eastAsia="ko-KR"/>
              </w:rPr>
              <w:t xml:space="preserve"> 협조하여 폐기 전기전자제품의 분해 처리하는 종류, 수량에 관한 사정업무를 효과적으로 이행해야 한다. </w:t>
            </w:r>
          </w:p>
          <w:p w:rsidR="00A04DAE"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제34조</w:t>
            </w:r>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환경보호부와</w:t>
            </w:r>
            <w:proofErr w:type="spellEnd"/>
            <w:r w:rsidRPr="00652482">
              <w:rPr>
                <w:rFonts w:ascii="한컴바탕" w:eastAsia="한컴바탕" w:hAnsi="한컴바탕" w:cs="한컴바탕" w:hint="eastAsia"/>
                <w:szCs w:val="21"/>
                <w:lang w:eastAsia="ko-KR"/>
              </w:rPr>
              <w:t xml:space="preserve"> 각 성(구, 시)의 환경보호 주관부문은 각각 전국 및 해당지역에서 처리기업이 분해 처리하는 전기전자제품 폐기물 및 기금보조금의 수취 현황을 공개하여 공중의 감독을 받아야 한다.  </w:t>
            </w:r>
          </w:p>
          <w:p w:rsidR="00606004" w:rsidRPr="00652482" w:rsidRDefault="00606004" w:rsidP="00606004">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단위나 개인은 기금납부와 사용중의 위법문제에 대한 감독과 신고권리를 갖고 있다. 관련 부문은 직책에 따라 단위와 개인이 신고한 문제에 대한 조사와 처리를 분류해야 한다.</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제5장 법률책임</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제35조</w:t>
            </w:r>
            <w:r w:rsidRPr="00652482">
              <w:rPr>
                <w:rFonts w:ascii="한컴바탕" w:eastAsia="한컴바탕" w:hAnsi="한컴바탕" w:cs="한컴바탕" w:hint="eastAsia"/>
                <w:szCs w:val="21"/>
                <w:lang w:eastAsia="ko-KR"/>
              </w:rPr>
              <w:t xml:space="preserve"> 단위 및 개인이 아래 상황에 해당되는 경우 《재정위법행위 징계처분조례》(국무원령 제427호) 및 《행정 사업성비용 수취와 벌금 및 몰수금 수입/지출의 관리규정을 위반한 행정처분 잠행규정》(국무원령 제281호) 등 법률법규에 근거하여 처벌 및 처분하고, 범죄를 구성한 경우 법에 의거하여 형사책임을 추궁한다.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(1) 국무원의 비준 또는 수권을 거치지 않고, 독단적으로 기금을 감면하거나 기금징수범위, 대상 및 표준을 변경한 경우</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(2) 허위보고, 허위사칭 등의 수법으로 기금보조금을 사취한 경우</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lastRenderedPageBreak/>
              <w:t>(3) 기금을 차단, 유보, 횡령한 경우</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(4) 기타 정부성 기금관리규정을 위반한 행위를 한 경우.</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처리기업이 제1관 제(2)항의 행위를 한 경우, 보조금 지급하는 자격을 취소하고 공개적으로 공시한다. </w:t>
            </w:r>
          </w:p>
          <w:p w:rsidR="00A04DAE" w:rsidRPr="00606004" w:rsidRDefault="00A04DAE" w:rsidP="00606004">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606004">
              <w:rPr>
                <w:rFonts w:ascii="한컴바탕" w:eastAsia="한컴바탕" w:hAnsi="한컴바탕" w:cs="한컴바탕" w:hint="eastAsia"/>
                <w:b/>
                <w:spacing w:val="-2"/>
                <w:szCs w:val="21"/>
                <w:lang w:eastAsia="ko-KR"/>
              </w:rPr>
              <w:t>제36조</w:t>
            </w:r>
            <w:r w:rsidRPr="00606004">
              <w:rPr>
                <w:rFonts w:ascii="한컴바탕" w:eastAsia="한컴바탕" w:hAnsi="한컴바탕" w:cs="한컴바탕" w:hint="eastAsia"/>
                <w:spacing w:val="-2"/>
                <w:szCs w:val="21"/>
                <w:lang w:eastAsia="ko-KR"/>
              </w:rPr>
              <w:t xml:space="preserve"> 전기전자제품 생산자가 기금징수 관리규정을 위반한 경우, </w:t>
            </w:r>
            <w:proofErr w:type="spellStart"/>
            <w:r w:rsidRPr="00606004">
              <w:rPr>
                <w:rFonts w:ascii="한컴바탕" w:eastAsia="한컴바탕" w:hAnsi="한컴바탕" w:cs="한컴바탕" w:hint="eastAsia"/>
                <w:spacing w:val="-2"/>
                <w:szCs w:val="21"/>
                <w:lang w:eastAsia="ko-KR"/>
              </w:rPr>
              <w:t>국가세무국이</w:t>
            </w:r>
            <w:proofErr w:type="spellEnd"/>
            <w:r w:rsidRPr="00606004">
              <w:rPr>
                <w:rFonts w:ascii="한컴바탕" w:eastAsia="한컴바탕" w:hAnsi="한컴바탕" w:cs="한컴바탕" w:hint="eastAsia"/>
                <w:spacing w:val="-2"/>
                <w:szCs w:val="21"/>
                <w:lang w:eastAsia="ko-KR"/>
              </w:rPr>
              <w:t xml:space="preserve"> 세수 위법행위와 비교 대조하여 행정처분을 내린다. 전기전자제품을 수입한 수하인 또는 그 대리인이 기금징수 관리규정을 위반한 경우, 해관에서 세금위반행위와 비교 대조하여 행정처분을 내린다.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제37조</w:t>
            </w:r>
            <w:r w:rsidRPr="00652482">
              <w:rPr>
                <w:rFonts w:ascii="한컴바탕" w:eastAsia="한컴바탕" w:hAnsi="한컴바탕" w:cs="한컴바탕" w:hint="eastAsia"/>
                <w:szCs w:val="21"/>
                <w:lang w:eastAsia="ko-KR"/>
              </w:rPr>
              <w:t xml:space="preserve"> 기금징수, 사용관리 유관부문의 업무인원이 본 방법의 규정을 위반하여 기금징수 및 사용관리업무를 하는 가운데 직권남용, 직무유기, 부정행위, 범죄구성을 한 경우, 법에 의거하여 형사책임을 추궁한다. 범죄를 구성하지 않은 경우, 법에 의거하여 처분한다.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 xml:space="preserve">제6장 </w:t>
            </w:r>
            <w:proofErr w:type="gramStart"/>
            <w:r w:rsidRPr="00652482">
              <w:rPr>
                <w:rFonts w:ascii="한컴바탕" w:eastAsia="한컴바탕" w:hAnsi="한컴바탕" w:cs="한컴바탕" w:hint="eastAsia"/>
                <w:b/>
                <w:szCs w:val="21"/>
                <w:lang w:eastAsia="ko-KR"/>
              </w:rPr>
              <w:t xml:space="preserve">부  </w:t>
            </w:r>
            <w:proofErr w:type="spellStart"/>
            <w:r w:rsidRPr="00652482">
              <w:rPr>
                <w:rFonts w:ascii="한컴바탕" w:eastAsia="한컴바탕" w:hAnsi="한컴바탕" w:cs="한컴바탕" w:hint="eastAsia"/>
                <w:b/>
                <w:szCs w:val="21"/>
                <w:lang w:eastAsia="ko-KR"/>
              </w:rPr>
              <w:t>칙</w:t>
            </w:r>
            <w:proofErr w:type="spellEnd"/>
            <w:proofErr w:type="gramEnd"/>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제38조</w:t>
            </w:r>
            <w:r w:rsidRPr="00652482">
              <w:rPr>
                <w:rFonts w:ascii="한컴바탕" w:eastAsia="한컴바탕" w:hAnsi="한컴바탕" w:cs="한컴바탕" w:hint="eastAsia"/>
                <w:szCs w:val="21"/>
                <w:lang w:eastAsia="ko-KR"/>
              </w:rPr>
              <w:t xml:space="preserve"> 본 방법은 </w:t>
            </w:r>
            <w:proofErr w:type="spellStart"/>
            <w:r w:rsidRPr="00652482">
              <w:rPr>
                <w:rFonts w:ascii="한컴바탕" w:eastAsia="한컴바탕" w:hAnsi="한컴바탕" w:cs="한컴바탕" w:hint="eastAsia"/>
                <w:szCs w:val="21"/>
                <w:lang w:eastAsia="ko-KR"/>
              </w:rPr>
              <w:t>재정부</w:t>
            </w:r>
            <w:proofErr w:type="spellEnd"/>
            <w:r w:rsidRPr="00652482">
              <w:rPr>
                <w:rFonts w:ascii="한컴바탕" w:eastAsia="한컴바탕" w:hAnsi="한컴바탕" w:cs="한컴바탕" w:hint="eastAsia"/>
                <w:szCs w:val="21"/>
                <w:lang w:eastAsia="ko-KR"/>
              </w:rPr>
              <w:t xml:space="preserve">, </w:t>
            </w:r>
            <w:proofErr w:type="spellStart"/>
            <w:r w:rsidRPr="00652482">
              <w:rPr>
                <w:rFonts w:ascii="한컴바탕" w:eastAsia="한컴바탕" w:hAnsi="한컴바탕" w:cs="한컴바탕" w:hint="eastAsia"/>
                <w:szCs w:val="21"/>
                <w:lang w:eastAsia="ko-KR"/>
              </w:rPr>
              <w:t>환경보호부</w:t>
            </w:r>
            <w:proofErr w:type="spellEnd"/>
            <w:r w:rsidRPr="00652482">
              <w:rPr>
                <w:rFonts w:ascii="한컴바탕" w:eastAsia="한컴바탕" w:hAnsi="한컴바탕" w:cs="한컴바탕" w:hint="eastAsia"/>
                <w:szCs w:val="21"/>
                <w:lang w:eastAsia="ko-KR"/>
              </w:rPr>
              <w:t xml:space="preserve">, 국가발전개혁위원회, 공업 및 </w:t>
            </w:r>
            <w:proofErr w:type="spellStart"/>
            <w:r w:rsidRPr="00652482">
              <w:rPr>
                <w:rFonts w:ascii="한컴바탕" w:eastAsia="한컴바탕" w:hAnsi="한컴바탕" w:cs="한컴바탕" w:hint="eastAsia"/>
                <w:szCs w:val="21"/>
                <w:lang w:eastAsia="ko-KR"/>
              </w:rPr>
              <w:t>정보화부</w:t>
            </w:r>
            <w:proofErr w:type="spellEnd"/>
            <w:r w:rsidRPr="00652482">
              <w:rPr>
                <w:rFonts w:ascii="한컴바탕" w:eastAsia="한컴바탕" w:hAnsi="한컴바탕" w:cs="한컴바탕" w:hint="eastAsia"/>
                <w:szCs w:val="21"/>
                <w:lang w:eastAsia="ko-KR"/>
              </w:rPr>
              <w:t xml:space="preserve">, 세무총국, 해관총서가 해석을 담당한다. </w:t>
            </w:r>
          </w:p>
          <w:p w:rsidR="00A04DAE" w:rsidRPr="00652482" w:rsidRDefault="00A04DAE" w:rsidP="0065248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652482">
              <w:rPr>
                <w:rFonts w:ascii="한컴바탕" w:eastAsia="한컴바탕" w:hAnsi="한컴바탕" w:cs="한컴바탕" w:hint="eastAsia"/>
                <w:b/>
                <w:szCs w:val="21"/>
                <w:lang w:eastAsia="ko-KR"/>
              </w:rPr>
              <w:t>제39조</w:t>
            </w:r>
            <w:r w:rsidRPr="00652482">
              <w:rPr>
                <w:rFonts w:ascii="한컴바탕" w:eastAsia="한컴바탕" w:hAnsi="한컴바탕" w:cs="한컴바탕" w:hint="eastAsia"/>
                <w:szCs w:val="21"/>
                <w:lang w:eastAsia="ko-KR"/>
              </w:rPr>
              <w:t xml:space="preserve"> 본 방법은 2012년 7월 1일부터 집행한다.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gramStart"/>
            <w:r w:rsidRPr="00652482">
              <w:rPr>
                <w:rFonts w:ascii="한컴바탕" w:eastAsia="한컴바탕" w:hAnsi="한컴바탕" w:cs="한컴바탕" w:hint="eastAsia"/>
                <w:szCs w:val="21"/>
                <w:lang w:eastAsia="ko-KR"/>
              </w:rPr>
              <w:t>첨부 :</w:t>
            </w:r>
            <w:proofErr w:type="gramEnd"/>
            <w:r w:rsidRPr="00652482">
              <w:rPr>
                <w:rFonts w:ascii="한컴바탕" w:eastAsia="한컴바탕" w:hAnsi="한컴바탕" w:cs="한컴바탕" w:hint="eastAsia"/>
                <w:szCs w:val="21"/>
                <w:lang w:eastAsia="ko-KR"/>
              </w:rPr>
              <w:t xml:space="preserve"> </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1. 전기전자제품 생산자 기금징수의 제품범위 및 징수표준</w:t>
            </w:r>
          </w:p>
          <w:p w:rsidR="00A04DAE" w:rsidRPr="00652482" w:rsidRDefault="00A04DAE" w:rsidP="0065248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2. 수입한 전기전자제품에 대하여 기금징수가 적용되는 상품 명칭, 해관 HS코드 및 징수표준(2012년판)</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tbl>
            <w:tblPr>
              <w:tblW w:w="4093" w:type="dxa"/>
              <w:jc w:val="center"/>
              <w:tblLayout w:type="fixed"/>
              <w:tblLook w:val="04A0"/>
            </w:tblPr>
            <w:tblGrid>
              <w:gridCol w:w="236"/>
              <w:gridCol w:w="500"/>
              <w:gridCol w:w="2402"/>
              <w:gridCol w:w="941"/>
              <w:gridCol w:w="14"/>
            </w:tblGrid>
            <w:tr w:rsidR="001E23D0" w:rsidRPr="00254EB3" w:rsidTr="00985922">
              <w:trPr>
                <w:trHeight w:val="538"/>
                <w:jc w:val="center"/>
              </w:trPr>
              <w:tc>
                <w:tcPr>
                  <w:tcW w:w="4093" w:type="dxa"/>
                  <w:gridSpan w:val="5"/>
                  <w:tcBorders>
                    <w:top w:val="nil"/>
                    <w:left w:val="nil"/>
                    <w:bottom w:val="nil"/>
                    <w:right w:val="nil"/>
                  </w:tcBorders>
                  <w:shd w:val="clear" w:color="auto" w:fill="auto"/>
                  <w:noWrap/>
                  <w:vAlign w:val="center"/>
                  <w:hideMark/>
                </w:tcPr>
                <w:p w:rsidR="001E23D0" w:rsidRDefault="001E23D0" w:rsidP="00985922">
                  <w:pPr>
                    <w:wordWrap w:val="0"/>
                    <w:topLinePunct/>
                    <w:adjustRightInd w:val="0"/>
                    <w:snapToGrid w:val="0"/>
                    <w:spacing w:line="300" w:lineRule="auto"/>
                    <w:ind w:leftChars="-39" w:left="-82"/>
                    <w:rPr>
                      <w:rFonts w:ascii="Gulim" w:eastAsiaTheme="minorEastAsia" w:hAnsi="Gulim" w:hint="eastAsia"/>
                      <w:szCs w:val="21"/>
                      <w:lang w:eastAsia="ko-KR"/>
                    </w:rPr>
                  </w:pPr>
                  <w:r w:rsidRPr="00254EB3">
                    <w:rPr>
                      <w:rFonts w:ascii="Gulim" w:eastAsia="Gulim" w:hAnsi="Gulim" w:hint="eastAsia"/>
                      <w:szCs w:val="21"/>
                      <w:lang w:eastAsia="ko-KR"/>
                    </w:rPr>
                    <w:t xml:space="preserve">첨부 </w:t>
                  </w:r>
                  <w:proofErr w:type="gramStart"/>
                  <w:r w:rsidRPr="00254EB3">
                    <w:rPr>
                      <w:rFonts w:ascii="Gulim" w:eastAsia="Gulim" w:hAnsi="Gulim" w:hint="eastAsia"/>
                      <w:szCs w:val="21"/>
                      <w:lang w:eastAsia="ko-KR"/>
                    </w:rPr>
                    <w:t>1 :</w:t>
                  </w:r>
                  <w:proofErr w:type="gramEnd"/>
                  <w:r w:rsidRPr="00254EB3">
                    <w:rPr>
                      <w:rFonts w:ascii="Gulim" w:eastAsia="Gulim" w:hAnsi="Gulim" w:hint="eastAsia"/>
                      <w:szCs w:val="21"/>
                      <w:lang w:eastAsia="ko-KR"/>
                    </w:rPr>
                    <w:t xml:space="preserve"> </w:t>
                  </w:r>
                </w:p>
                <w:p w:rsidR="001E23D0" w:rsidRPr="001E23D0" w:rsidRDefault="001E23D0" w:rsidP="00985922">
                  <w:pPr>
                    <w:wordWrap w:val="0"/>
                    <w:topLinePunct/>
                    <w:adjustRightInd w:val="0"/>
                    <w:snapToGrid w:val="0"/>
                    <w:spacing w:line="300" w:lineRule="auto"/>
                    <w:ind w:leftChars="-39" w:left="-82"/>
                    <w:rPr>
                      <w:rFonts w:ascii="Gulim" w:eastAsiaTheme="minorEastAsia" w:hAnsi="Gulim"/>
                      <w:szCs w:val="21"/>
                      <w:lang w:eastAsia="ko-KR"/>
                    </w:rPr>
                  </w:pPr>
                </w:p>
                <w:p w:rsidR="001E23D0" w:rsidRPr="00254EB3" w:rsidRDefault="001E23D0" w:rsidP="00985922">
                  <w:pPr>
                    <w:wordWrap w:val="0"/>
                    <w:topLinePunct/>
                    <w:adjustRightInd w:val="0"/>
                    <w:snapToGrid w:val="0"/>
                    <w:spacing w:line="300" w:lineRule="auto"/>
                    <w:jc w:val="center"/>
                    <w:rPr>
                      <w:rFonts w:ascii="Gulim" w:eastAsia="Gulim" w:hAnsi="Gulim" w:cs="SimSun"/>
                      <w:b/>
                      <w:color w:val="000000"/>
                      <w:kern w:val="0"/>
                      <w:szCs w:val="21"/>
                      <w:lang w:eastAsia="ko-KR"/>
                    </w:rPr>
                  </w:pPr>
                  <w:r w:rsidRPr="00254EB3">
                    <w:rPr>
                      <w:rFonts w:ascii="Gulim" w:eastAsia="Gulim" w:hAnsi="Gulim" w:hint="eastAsia"/>
                      <w:b/>
                      <w:szCs w:val="21"/>
                      <w:lang w:eastAsia="ko-KR"/>
                    </w:rPr>
                    <w:t>전기전자제품 생산자 기금징수의 제품범위 및 징수표준</w:t>
                  </w:r>
                </w:p>
              </w:tc>
            </w:tr>
            <w:tr w:rsidR="001E23D0" w:rsidRPr="00254EB3" w:rsidTr="00985922">
              <w:trPr>
                <w:trHeight w:val="76"/>
                <w:jc w:val="center"/>
              </w:trPr>
              <w:tc>
                <w:tcPr>
                  <w:tcW w:w="4093" w:type="dxa"/>
                  <w:gridSpan w:val="5"/>
                  <w:tcBorders>
                    <w:top w:val="nil"/>
                    <w:left w:val="nil"/>
                    <w:bottom w:val="nil"/>
                    <w:right w:val="nil"/>
                  </w:tcBorders>
                  <w:shd w:val="clear" w:color="auto" w:fill="auto"/>
                  <w:noWrap/>
                  <w:vAlign w:val="center"/>
                  <w:hideMark/>
                </w:tcPr>
                <w:p w:rsidR="001E23D0" w:rsidRPr="00254EB3" w:rsidRDefault="001E23D0" w:rsidP="00985922">
                  <w:pPr>
                    <w:wordWrap w:val="0"/>
                    <w:topLinePunct/>
                    <w:adjustRightInd w:val="0"/>
                    <w:snapToGrid w:val="0"/>
                    <w:spacing w:line="300" w:lineRule="auto"/>
                    <w:rPr>
                      <w:rFonts w:ascii="Gulim" w:eastAsia="Gulim" w:hAnsi="Gulim"/>
                      <w:szCs w:val="21"/>
                      <w:lang w:eastAsia="ko-KR"/>
                    </w:rPr>
                  </w:pPr>
                </w:p>
              </w:tc>
            </w:tr>
            <w:tr w:rsidR="001E23D0" w:rsidRPr="00254EB3" w:rsidTr="00985922">
              <w:trPr>
                <w:trHeight w:val="76"/>
                <w:jc w:val="center"/>
              </w:trPr>
              <w:tc>
                <w:tcPr>
                  <w:tcW w:w="4093" w:type="dxa"/>
                  <w:gridSpan w:val="5"/>
                  <w:tcBorders>
                    <w:top w:val="nil"/>
                    <w:left w:val="nil"/>
                    <w:bottom w:val="nil"/>
                    <w:right w:val="nil"/>
                  </w:tcBorders>
                  <w:shd w:val="clear" w:color="auto" w:fill="auto"/>
                  <w:noWrap/>
                  <w:vAlign w:val="center"/>
                  <w:hideMark/>
                </w:tcPr>
                <w:p w:rsidR="001E23D0" w:rsidRPr="00254EB3" w:rsidRDefault="001E23D0" w:rsidP="00985922">
                  <w:pPr>
                    <w:wordWrap w:val="0"/>
                    <w:topLinePunct/>
                    <w:adjustRightInd w:val="0"/>
                    <w:snapToGrid w:val="0"/>
                    <w:spacing w:line="300" w:lineRule="auto"/>
                    <w:ind w:leftChars="-70" w:left="-147"/>
                    <w:jc w:val="left"/>
                    <w:rPr>
                      <w:rFonts w:ascii="Gulim" w:eastAsia="Gulim" w:hAnsi="Gulim"/>
                      <w:szCs w:val="21"/>
                      <w:lang w:eastAsia="ko-KR"/>
                    </w:rPr>
                  </w:pPr>
                </w:p>
              </w:tc>
            </w:tr>
            <w:tr w:rsidR="001E23D0" w:rsidRPr="00254EB3" w:rsidTr="00985922">
              <w:trPr>
                <w:trHeight w:val="76"/>
                <w:jc w:val="center"/>
              </w:trPr>
              <w:tc>
                <w:tcPr>
                  <w:tcW w:w="4093" w:type="dxa"/>
                  <w:gridSpan w:val="5"/>
                  <w:tcBorders>
                    <w:top w:val="nil"/>
                    <w:left w:val="nil"/>
                    <w:bottom w:val="nil"/>
                    <w:right w:val="nil"/>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SimSun"/>
                      <w:color w:val="000000"/>
                      <w:kern w:val="0"/>
                      <w:szCs w:val="21"/>
                      <w:lang w:eastAsia="ko-KR"/>
                    </w:rPr>
                  </w:pPr>
                </w:p>
              </w:tc>
            </w:tr>
            <w:tr w:rsidR="001E23D0" w:rsidRPr="00254EB3" w:rsidTr="00985922">
              <w:trPr>
                <w:gridAfter w:val="1"/>
                <w:wAfter w:w="14" w:type="dxa"/>
                <w:trHeight w:val="705"/>
                <w:jc w:val="center"/>
              </w:trPr>
              <w:tc>
                <w:tcPr>
                  <w:tcW w:w="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hint="eastAsia"/>
                      <w:color w:val="000000"/>
                      <w:kern w:val="0"/>
                      <w:szCs w:val="21"/>
                      <w:lang w:eastAsia="ko-KR"/>
                    </w:rPr>
                    <w:t>순서</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Batang"/>
                      <w:color w:val="000000"/>
                      <w:kern w:val="0"/>
                      <w:szCs w:val="21"/>
                      <w:lang w:eastAsia="ko-KR"/>
                    </w:rPr>
                  </w:pPr>
                  <w:r w:rsidRPr="00254EB3">
                    <w:rPr>
                      <w:rFonts w:ascii="Gulim" w:eastAsia="Gulim" w:hAnsi="Gulim" w:cs="Batang" w:hint="eastAsia"/>
                      <w:color w:val="000000"/>
                      <w:kern w:val="0"/>
                      <w:szCs w:val="21"/>
                      <w:lang w:eastAsia="ko-KR"/>
                    </w:rPr>
                    <w:t xml:space="preserve">제품 </w:t>
                  </w:r>
                </w:p>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hint="eastAsia"/>
                      <w:color w:val="000000"/>
                      <w:kern w:val="0"/>
                      <w:szCs w:val="21"/>
                      <w:lang w:eastAsia="ko-KR"/>
                    </w:rPr>
                    <w:t>유형</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Batang" w:hint="eastAsia"/>
                      <w:color w:val="000000"/>
                      <w:kern w:val="0"/>
                      <w:szCs w:val="21"/>
                      <w:lang w:eastAsia="ko-KR"/>
                    </w:rPr>
                    <w:t>제품 범위</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징수</w:t>
                  </w:r>
                  <w:r w:rsidRPr="00254EB3">
                    <w:rPr>
                      <w:rFonts w:ascii="Gulim" w:eastAsia="Gulim" w:hAnsi="Gulim" w:cs="Batang" w:hint="eastAsia"/>
                      <w:color w:val="000000"/>
                      <w:kern w:val="0"/>
                      <w:szCs w:val="21"/>
                      <w:lang w:eastAsia="ko-KR"/>
                    </w:rPr>
                    <w:t>표</w:t>
                  </w:r>
                  <w:r w:rsidRPr="00254EB3">
                    <w:rPr>
                      <w:rFonts w:ascii="Gulim" w:eastAsia="Gulim" w:hAnsi="Gulim" w:cs="Courier New" w:hint="eastAsia"/>
                      <w:color w:val="000000"/>
                      <w:kern w:val="0"/>
                      <w:szCs w:val="21"/>
                      <w:lang w:eastAsia="ko-KR"/>
                    </w:rPr>
                    <w:t>준</w:t>
                  </w:r>
                </w:p>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(위안/대)</w:t>
                  </w:r>
                </w:p>
              </w:tc>
            </w:tr>
            <w:tr w:rsidR="001E23D0" w:rsidRPr="00254EB3" w:rsidTr="00985922">
              <w:trPr>
                <w:gridAfter w:val="1"/>
                <w:wAfter w:w="14" w:type="dxa"/>
                <w:trHeight w:val="456"/>
                <w:jc w:val="center"/>
              </w:trPr>
              <w:tc>
                <w:tcPr>
                  <w:tcW w:w="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w:t>
                  </w:r>
                </w:p>
              </w:tc>
              <w:tc>
                <w:tcPr>
                  <w:tcW w:w="5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lang w:eastAsia="ko-KR"/>
                    </w:rPr>
                  </w:pPr>
                  <w:r w:rsidRPr="00254EB3">
                    <w:rPr>
                      <w:rFonts w:ascii="Gulim" w:eastAsia="Gulim" w:hAnsi="Gulim" w:cs="Batang" w:hint="eastAsia"/>
                      <w:color w:val="000000"/>
                      <w:kern w:val="0"/>
                      <w:szCs w:val="21"/>
                      <w:lang w:eastAsia="ko-KR"/>
                    </w:rPr>
                    <w:t>TV</w:t>
                  </w: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음극선관(CRT) (흑백</w:t>
                  </w:r>
                  <w:proofErr w:type="gramStart"/>
                  <w:r w:rsidRPr="00254EB3">
                    <w:rPr>
                      <w:rFonts w:ascii="Gulim" w:eastAsia="Gulim" w:hAnsi="Gulim" w:cs="Courier New" w:hint="eastAsia"/>
                      <w:color w:val="000000"/>
                      <w:kern w:val="0"/>
                      <w:szCs w:val="21"/>
                      <w:lang w:eastAsia="ko-KR"/>
                    </w:rPr>
                    <w:t>,</w:t>
                  </w:r>
                  <w:r w:rsidRPr="00254EB3">
                    <w:rPr>
                      <w:rFonts w:ascii="Gulim" w:eastAsia="Gulim" w:hAnsi="Gulim" w:cs="Courier New" w:hint="eastAsia"/>
                      <w:color w:val="000000"/>
                      <w:kern w:val="0"/>
                      <w:szCs w:val="21"/>
                      <w:lang w:eastAsia="ko-KR"/>
                    </w:rPr>
                    <w:lastRenderedPageBreak/>
                    <w:t>컬러</w:t>
                  </w:r>
                  <w:r w:rsidRPr="00254EB3">
                    <w:rPr>
                      <w:rFonts w:ascii="Gulim" w:eastAsia="Gulim" w:hAnsi="Gulim" w:cs="Courier New"/>
                      <w:color w:val="000000"/>
                      <w:kern w:val="0"/>
                      <w:szCs w:val="21"/>
                      <w:lang w:eastAsia="ko-KR"/>
                    </w:rPr>
                    <w:t>）</w:t>
                  </w:r>
                  <w:r w:rsidRPr="00254EB3">
                    <w:rPr>
                      <w:rFonts w:ascii="Gulim" w:eastAsia="Gulim" w:hAnsi="Gulim" w:cs="Courier New" w:hint="eastAsia"/>
                      <w:color w:val="000000"/>
                      <w:kern w:val="0"/>
                      <w:szCs w:val="21"/>
                      <w:lang w:eastAsia="ko-KR"/>
                    </w:rPr>
                    <w:t>TV</w:t>
                  </w:r>
                  <w:proofErr w:type="gramEnd"/>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lastRenderedPageBreak/>
                    <w:t>13</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rPr>
                  </w:pPr>
                  <w:r w:rsidRPr="00254EB3">
                    <w:rPr>
                      <w:rFonts w:ascii="Gulim" w:eastAsia="Gulim" w:hAnsi="Gulim" w:cs="Courier New" w:hint="eastAsia"/>
                      <w:color w:val="000000"/>
                      <w:kern w:val="0"/>
                      <w:szCs w:val="21"/>
                      <w:lang w:eastAsia="ko-KR"/>
                    </w:rPr>
                    <w:t>액정TV</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13</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kern w:val="0"/>
                      <w:szCs w:val="21"/>
                      <w:lang w:eastAsia="ko-KR"/>
                    </w:rPr>
                  </w:pPr>
                  <w:proofErr w:type="spellStart"/>
                  <w:r w:rsidRPr="00254EB3">
                    <w:rPr>
                      <w:rFonts w:ascii="Gulim" w:eastAsia="Gulim" w:hAnsi="Gulim" w:cs="Courier New" w:hint="eastAsia"/>
                      <w:kern w:val="0"/>
                      <w:szCs w:val="21"/>
                      <w:lang w:eastAsia="ko-KR"/>
                    </w:rPr>
                    <w:t>플라즈마</w:t>
                  </w:r>
                  <w:proofErr w:type="spellEnd"/>
                  <w:r w:rsidRPr="00254EB3">
                    <w:rPr>
                      <w:rFonts w:ascii="Gulim" w:eastAsia="Gulim" w:hAnsi="Gulim" w:cs="Courier New" w:hint="eastAsia"/>
                      <w:kern w:val="0"/>
                      <w:szCs w:val="21"/>
                      <w:lang w:eastAsia="ko-KR"/>
                    </w:rPr>
                    <w:t>TV</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13</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rPr>
                  </w:pPr>
                  <w:proofErr w:type="spellStart"/>
                  <w:r w:rsidRPr="00254EB3">
                    <w:rPr>
                      <w:rFonts w:ascii="Gulim" w:eastAsia="Gulim" w:hAnsi="Gulim" w:cs="Courier New" w:hint="eastAsia"/>
                      <w:color w:val="000000"/>
                      <w:kern w:val="0"/>
                      <w:szCs w:val="21"/>
                      <w:lang w:eastAsia="ko-KR"/>
                    </w:rPr>
                    <w:t>프로젝션</w:t>
                  </w:r>
                  <w:proofErr w:type="spellEnd"/>
                  <w:r w:rsidRPr="00254EB3">
                    <w:rPr>
                      <w:rFonts w:ascii="Gulim" w:eastAsia="Gulim" w:hAnsi="Gulim" w:cs="Courier New" w:hint="eastAsia"/>
                      <w:color w:val="000000"/>
                      <w:kern w:val="0"/>
                      <w:szCs w:val="21"/>
                      <w:lang w:eastAsia="ko-KR"/>
                    </w:rPr>
                    <w:t>TV</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13</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기타 신호수신, 이미지 복원 및 더빙에 사용되는 단말기 설비</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13</w:t>
                  </w:r>
                </w:p>
              </w:tc>
            </w:tr>
            <w:tr w:rsidR="001E23D0" w:rsidRPr="00254EB3" w:rsidTr="00985922">
              <w:trPr>
                <w:gridAfter w:val="1"/>
                <w:wAfter w:w="14" w:type="dxa"/>
                <w:trHeight w:val="456"/>
                <w:jc w:val="center"/>
              </w:trPr>
              <w:tc>
                <w:tcPr>
                  <w:tcW w:w="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2</w:t>
                  </w:r>
                </w:p>
              </w:tc>
              <w:tc>
                <w:tcPr>
                  <w:tcW w:w="5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Batang" w:hint="eastAsia"/>
                      <w:color w:val="000000"/>
                      <w:kern w:val="0"/>
                      <w:szCs w:val="21"/>
                      <w:lang w:eastAsia="ko-KR"/>
                    </w:rPr>
                    <w:t>냉장고</w:t>
                  </w: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proofErr w:type="spellStart"/>
                  <w:r w:rsidRPr="00254EB3">
                    <w:rPr>
                      <w:rFonts w:ascii="Gulim" w:eastAsia="Gulim" w:hAnsi="Gulim" w:cs="Courier New" w:hint="eastAsia"/>
                      <w:color w:val="000000"/>
                      <w:kern w:val="0"/>
                      <w:szCs w:val="21"/>
                      <w:lang w:eastAsia="ko-KR"/>
                    </w:rPr>
                    <w:t>냉장냉동고</w:t>
                  </w:r>
                  <w:proofErr w:type="spellEnd"/>
                  <w:r w:rsidRPr="00254EB3">
                    <w:rPr>
                      <w:rFonts w:ascii="Gulim" w:eastAsia="Gulim" w:hAnsi="Gulim" w:cs="Courier New" w:hint="eastAsia"/>
                      <w:color w:val="000000"/>
                      <w:kern w:val="0"/>
                      <w:szCs w:val="21"/>
                      <w:lang w:eastAsia="ko-KR"/>
                    </w:rPr>
                    <w:t>(</w:t>
                  </w:r>
                  <w:proofErr w:type="spellStart"/>
                  <w:r w:rsidRPr="00254EB3">
                    <w:rPr>
                      <w:rFonts w:ascii="Gulim" w:eastAsia="Gulim" w:hAnsi="Gulim" w:cs="Courier New" w:hint="eastAsia"/>
                      <w:color w:val="000000"/>
                      <w:kern w:val="0"/>
                      <w:szCs w:val="21"/>
                      <w:lang w:eastAsia="ko-KR"/>
                    </w:rPr>
                    <w:t>캐비닛형</w:t>
                  </w:r>
                  <w:proofErr w:type="spellEnd"/>
                  <w:r w:rsidRPr="00254EB3">
                    <w:rPr>
                      <w:rFonts w:ascii="Gulim" w:eastAsia="Gulim" w:hAnsi="Gulim" w:cs="Courier New" w:hint="eastAsia"/>
                      <w:color w:val="000000"/>
                      <w:kern w:val="0"/>
                      <w:szCs w:val="21"/>
                      <w:lang w:eastAsia="ko-KR"/>
                    </w:rPr>
                    <w:t>)</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12</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냉장고(</w:t>
                  </w:r>
                  <w:proofErr w:type="spellStart"/>
                  <w:r w:rsidRPr="00254EB3">
                    <w:rPr>
                      <w:rFonts w:ascii="Gulim" w:eastAsia="Gulim" w:hAnsi="Gulim" w:cs="Courier New" w:hint="eastAsia"/>
                      <w:color w:val="000000"/>
                      <w:kern w:val="0"/>
                      <w:szCs w:val="21"/>
                      <w:lang w:eastAsia="ko-KR"/>
                    </w:rPr>
                    <w:t>캐비닛형</w:t>
                  </w:r>
                  <w:proofErr w:type="spellEnd"/>
                  <w:r w:rsidRPr="00254EB3">
                    <w:rPr>
                      <w:rFonts w:ascii="Gulim" w:eastAsia="Gulim" w:hAnsi="Gulim" w:cs="Courier New" w:hint="eastAsia"/>
                      <w:color w:val="000000"/>
                      <w:kern w:val="0"/>
                      <w:szCs w:val="21"/>
                      <w:lang w:eastAsia="ko-KR"/>
                    </w:rPr>
                    <w:t>)</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12</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proofErr w:type="spellStart"/>
                  <w:r w:rsidRPr="00254EB3">
                    <w:rPr>
                      <w:rFonts w:ascii="Gulim" w:eastAsia="Gulim" w:hAnsi="Gulim" w:cs="Courier New" w:hint="eastAsia"/>
                      <w:color w:val="000000"/>
                      <w:kern w:val="0"/>
                      <w:szCs w:val="21"/>
                      <w:lang w:eastAsia="ko-KR"/>
                    </w:rPr>
                    <w:t>냉동고</w:t>
                  </w:r>
                  <w:proofErr w:type="spellEnd"/>
                  <w:r w:rsidRPr="00254EB3">
                    <w:rPr>
                      <w:rFonts w:ascii="Gulim" w:eastAsia="Gulim" w:hAnsi="Gulim" w:cs="Courier New" w:hint="eastAsia"/>
                      <w:color w:val="000000"/>
                      <w:kern w:val="0"/>
                      <w:szCs w:val="21"/>
                      <w:lang w:eastAsia="ko-KR"/>
                    </w:rPr>
                    <w:t>(</w:t>
                  </w:r>
                  <w:proofErr w:type="spellStart"/>
                  <w:r w:rsidRPr="00254EB3">
                    <w:rPr>
                      <w:rFonts w:ascii="Gulim" w:eastAsia="Gulim" w:hAnsi="Gulim" w:cs="Courier New" w:hint="eastAsia"/>
                      <w:color w:val="000000"/>
                      <w:kern w:val="0"/>
                      <w:szCs w:val="21"/>
                      <w:lang w:eastAsia="ko-KR"/>
                    </w:rPr>
                    <w:t>캐비닛형</w:t>
                  </w:r>
                  <w:proofErr w:type="spellEnd"/>
                  <w:r w:rsidRPr="00254EB3">
                    <w:rPr>
                      <w:rFonts w:ascii="Gulim" w:eastAsia="Gulim" w:hAnsi="Gulim" w:cs="Courier New" w:hint="eastAsia"/>
                      <w:color w:val="000000"/>
                      <w:kern w:val="0"/>
                      <w:szCs w:val="21"/>
                      <w:lang w:eastAsia="ko-KR"/>
                    </w:rPr>
                    <w:t>)</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12</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기타 냉각용량을 얻기 위해 냉각시스템, 에너지소모를 갖춘 단열상자</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12</w:t>
                  </w:r>
                </w:p>
              </w:tc>
            </w:tr>
            <w:tr w:rsidR="001E23D0" w:rsidRPr="00254EB3" w:rsidTr="00985922">
              <w:trPr>
                <w:gridAfter w:val="1"/>
                <w:wAfter w:w="14" w:type="dxa"/>
                <w:trHeight w:val="456"/>
                <w:jc w:val="center"/>
              </w:trPr>
              <w:tc>
                <w:tcPr>
                  <w:tcW w:w="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3</w:t>
                  </w:r>
                </w:p>
              </w:tc>
              <w:tc>
                <w:tcPr>
                  <w:tcW w:w="5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hint="eastAsia"/>
                      <w:color w:val="000000"/>
                      <w:kern w:val="0"/>
                      <w:szCs w:val="21"/>
                      <w:lang w:eastAsia="ko-KR"/>
                    </w:rPr>
                    <w:t>세탁기</w:t>
                  </w: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회전식 세탁기</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rPr>
                  </w:pPr>
                  <w:r w:rsidRPr="00254EB3">
                    <w:rPr>
                      <w:rFonts w:ascii="Gulim" w:eastAsia="Gulim" w:hAnsi="Gulim" w:cs="Batang" w:hint="eastAsia"/>
                      <w:color w:val="000000"/>
                      <w:kern w:val="0"/>
                      <w:szCs w:val="21"/>
                      <w:lang w:eastAsia="ko-KR"/>
                    </w:rPr>
                    <w:t>드럼세탁기</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rPr>
                  </w:pPr>
                  <w:proofErr w:type="spellStart"/>
                  <w:r w:rsidRPr="00254EB3">
                    <w:rPr>
                      <w:rFonts w:ascii="Gulim" w:eastAsia="Gulim" w:hAnsi="Gulim" w:cs="Batang" w:hint="eastAsia"/>
                      <w:color w:val="000000"/>
                      <w:kern w:val="0"/>
                      <w:szCs w:val="21"/>
                      <w:lang w:eastAsia="ko-KR"/>
                    </w:rPr>
                    <w:t>믹스형</w:t>
                  </w:r>
                  <w:proofErr w:type="spellEnd"/>
                  <w:r w:rsidRPr="00254EB3">
                    <w:rPr>
                      <w:rFonts w:ascii="Gulim" w:eastAsia="Gulim" w:hAnsi="Gulim" w:cs="Batang" w:hint="eastAsia"/>
                      <w:color w:val="000000"/>
                      <w:kern w:val="0"/>
                      <w:szCs w:val="21"/>
                      <w:lang w:eastAsia="ko-KR"/>
                    </w:rPr>
                    <w:t xml:space="preserve"> 세탁기</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rPr>
                  </w:pPr>
                  <w:r w:rsidRPr="00254EB3">
                    <w:rPr>
                      <w:rFonts w:ascii="Gulim" w:eastAsia="Gulim" w:hAnsi="Gulim" w:cs="Batang" w:hint="eastAsia"/>
                      <w:color w:val="000000"/>
                      <w:kern w:val="0"/>
                      <w:szCs w:val="21"/>
                      <w:lang w:eastAsia="ko-KR"/>
                    </w:rPr>
                    <w:t>탈수기</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기타 기계작용에 의존한 의류 세탁(빨래건조 기능 겸비한 것 포함) 기구</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4</w:t>
                  </w:r>
                </w:p>
              </w:tc>
              <w:tc>
                <w:tcPr>
                  <w:tcW w:w="5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실내</w:t>
                  </w:r>
                </w:p>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hint="eastAsia"/>
                      <w:color w:val="000000"/>
                      <w:kern w:val="0"/>
                      <w:szCs w:val="21"/>
                      <w:lang w:eastAsia="ko-KR"/>
                    </w:rPr>
                    <w:t>에어컨</w:t>
                  </w:r>
                </w:p>
              </w:tc>
              <w:tc>
                <w:tcPr>
                  <w:tcW w:w="2429" w:type="dxa"/>
                  <w:tcBorders>
                    <w:top w:val="nil"/>
                    <w:left w:val="nil"/>
                    <w:bottom w:val="single" w:sz="4" w:space="0" w:color="auto"/>
                    <w:right w:val="single" w:sz="4" w:space="0" w:color="auto"/>
                  </w:tcBorders>
                  <w:shd w:val="clear" w:color="auto" w:fill="auto"/>
                  <w:vAlign w:val="center"/>
                  <w:hideMark/>
                </w:tcPr>
                <w:p w:rsidR="001E23D0" w:rsidRPr="00070C5E" w:rsidRDefault="001E23D0" w:rsidP="00985922">
                  <w:pPr>
                    <w:wordWrap w:val="0"/>
                    <w:topLinePunct/>
                    <w:adjustRightInd w:val="0"/>
                    <w:snapToGrid w:val="0"/>
                    <w:spacing w:line="300" w:lineRule="auto"/>
                    <w:rPr>
                      <w:rFonts w:ascii="한컴바탕" w:eastAsia="한컴바탕" w:hAnsi="한컴바탕" w:cs="한컴바탕"/>
                      <w:color w:val="000000"/>
                      <w:spacing w:val="-12"/>
                      <w:kern w:val="0"/>
                      <w:szCs w:val="21"/>
                      <w:lang w:eastAsia="ko-KR"/>
                    </w:rPr>
                  </w:pPr>
                  <w:proofErr w:type="spellStart"/>
                  <w:r w:rsidRPr="00070C5E">
                    <w:rPr>
                      <w:rFonts w:ascii="한컴바탕" w:eastAsia="한컴바탕" w:hAnsi="한컴바탕" w:cs="한컴바탕" w:hint="eastAsia"/>
                      <w:color w:val="000000"/>
                      <w:spacing w:val="-12"/>
                      <w:kern w:val="0"/>
                      <w:szCs w:val="21"/>
                      <w:lang w:eastAsia="ko-KR"/>
                    </w:rPr>
                    <w:t>종합형</w:t>
                  </w:r>
                  <w:proofErr w:type="spellEnd"/>
                  <w:r w:rsidRPr="00070C5E">
                    <w:rPr>
                      <w:rFonts w:ascii="한컴바탕" w:eastAsia="한컴바탕" w:hAnsi="한컴바탕" w:cs="한컴바탕" w:hint="eastAsia"/>
                      <w:color w:val="000000"/>
                      <w:spacing w:val="-12"/>
                      <w:kern w:val="0"/>
                      <w:szCs w:val="21"/>
                      <w:lang w:eastAsia="ko-KR"/>
                    </w:rPr>
                    <w:t xml:space="preserve"> 에어컨(</w:t>
                  </w:r>
                  <w:proofErr w:type="spellStart"/>
                  <w:r w:rsidRPr="00070C5E">
                    <w:rPr>
                      <w:rFonts w:ascii="한컴바탕" w:eastAsia="한컴바탕" w:hAnsi="한컴바탕" w:cs="한컴바탕" w:hint="eastAsia"/>
                      <w:color w:val="000000"/>
                      <w:spacing w:val="-12"/>
                      <w:kern w:val="0"/>
                      <w:szCs w:val="21"/>
                      <w:lang w:eastAsia="ko-KR"/>
                    </w:rPr>
                    <w:t>창문형</w:t>
                  </w:r>
                  <w:proofErr w:type="spellEnd"/>
                  <w:r w:rsidRPr="00070C5E">
                    <w:rPr>
                      <w:rFonts w:ascii="한컴바탕" w:eastAsia="한컴바탕" w:hAnsi="한컴바탕" w:cs="한컴바탕" w:hint="eastAsia"/>
                      <w:color w:val="000000"/>
                      <w:spacing w:val="-12"/>
                      <w:kern w:val="0"/>
                      <w:szCs w:val="21"/>
                      <w:lang w:eastAsia="ko-KR"/>
                    </w:rPr>
                    <w:t xml:space="preserve"> 에어컨, 붙박이 에어컨 등) </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proofErr w:type="spellStart"/>
                  <w:r w:rsidRPr="00254EB3">
                    <w:rPr>
                      <w:rFonts w:ascii="Gulim" w:eastAsia="Gulim" w:hAnsi="Gulim" w:cs="Courier New" w:hint="eastAsia"/>
                      <w:color w:val="000000"/>
                      <w:kern w:val="0"/>
                      <w:szCs w:val="21"/>
                      <w:lang w:eastAsia="ko-KR"/>
                    </w:rPr>
                    <w:t>분체식</w:t>
                  </w:r>
                  <w:proofErr w:type="spellEnd"/>
                  <w:r w:rsidRPr="00254EB3">
                    <w:rPr>
                      <w:rFonts w:ascii="Gulim" w:eastAsia="Gulim" w:hAnsi="Gulim" w:cs="Courier New" w:hint="eastAsia"/>
                      <w:color w:val="000000"/>
                      <w:kern w:val="0"/>
                      <w:szCs w:val="21"/>
                      <w:lang w:eastAsia="ko-KR"/>
                    </w:rPr>
                    <w:t xml:space="preserve"> 에어컨(</w:t>
                  </w:r>
                  <w:proofErr w:type="spellStart"/>
                  <w:r w:rsidRPr="00254EB3">
                    <w:rPr>
                      <w:rFonts w:ascii="Gulim" w:eastAsia="Gulim" w:hAnsi="Gulim" w:cs="Courier New" w:hint="eastAsia"/>
                      <w:color w:val="000000"/>
                      <w:kern w:val="0"/>
                      <w:szCs w:val="21"/>
                      <w:lang w:eastAsia="ko-KR"/>
                    </w:rPr>
                    <w:t>분체</w:t>
                  </w:r>
                  <w:proofErr w:type="spellEnd"/>
                  <w:r w:rsidRPr="00254EB3">
                    <w:rPr>
                      <w:rFonts w:ascii="Gulim" w:eastAsia="Gulim" w:hAnsi="Gulim" w:cs="Courier New" w:hint="eastAsia"/>
                      <w:color w:val="000000"/>
                      <w:kern w:val="0"/>
                      <w:szCs w:val="21"/>
                      <w:lang w:eastAsia="ko-KR"/>
                    </w:rPr>
                    <w:t xml:space="preserve"> 벽걸이, </w:t>
                  </w:r>
                  <w:proofErr w:type="spellStart"/>
                  <w:r w:rsidRPr="00254EB3">
                    <w:rPr>
                      <w:rFonts w:ascii="Gulim" w:eastAsia="Gulim" w:hAnsi="Gulim" w:cs="Courier New" w:hint="eastAsia"/>
                      <w:color w:val="000000"/>
                      <w:kern w:val="0"/>
                      <w:szCs w:val="21"/>
                      <w:lang w:eastAsia="ko-KR"/>
                    </w:rPr>
                    <w:t>분체</w:t>
                  </w:r>
                  <w:proofErr w:type="spellEnd"/>
                  <w:r w:rsidRPr="00254EB3">
                    <w:rPr>
                      <w:rFonts w:ascii="Gulim" w:eastAsia="Gulim" w:hAnsi="Gulim" w:cs="Courier New" w:hint="eastAsia"/>
                      <w:color w:val="000000"/>
                      <w:kern w:val="0"/>
                      <w:szCs w:val="21"/>
                      <w:lang w:eastAsia="ko-KR"/>
                    </w:rPr>
                    <w:t xml:space="preserve"> 스탠드 등)</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proofErr w:type="spellStart"/>
                  <w:r w:rsidRPr="00254EB3">
                    <w:rPr>
                      <w:rFonts w:ascii="Gulim" w:eastAsia="Gulim" w:hAnsi="Gulim" w:cs="Courier New" w:hint="eastAsia"/>
                      <w:color w:val="000000"/>
                      <w:kern w:val="0"/>
                      <w:szCs w:val="21"/>
                      <w:lang w:eastAsia="ko-KR"/>
                    </w:rPr>
                    <w:t>멀티형에어컨</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070C5E" w:rsidRDefault="001E23D0" w:rsidP="00985922">
                  <w:pPr>
                    <w:wordWrap w:val="0"/>
                    <w:topLinePunct/>
                    <w:adjustRightInd w:val="0"/>
                    <w:snapToGrid w:val="0"/>
                    <w:spacing w:line="300" w:lineRule="auto"/>
                    <w:rPr>
                      <w:rFonts w:ascii="한컴바탕" w:eastAsia="한컴바탕" w:hAnsi="한컴바탕" w:cs="한컴바탕"/>
                      <w:color w:val="000000"/>
                      <w:spacing w:val="-6"/>
                      <w:kern w:val="0"/>
                      <w:szCs w:val="21"/>
                      <w:lang w:eastAsia="ko-KR"/>
                    </w:rPr>
                  </w:pPr>
                  <w:r w:rsidRPr="00070C5E">
                    <w:rPr>
                      <w:rFonts w:ascii="한컴바탕" w:eastAsia="한컴바탕" w:hAnsi="한컴바탕" w:cs="한컴바탕" w:hint="eastAsia"/>
                      <w:color w:val="000000"/>
                      <w:spacing w:val="-6"/>
                      <w:kern w:val="0"/>
                      <w:szCs w:val="21"/>
                      <w:lang w:eastAsia="ko-KR"/>
                    </w:rPr>
                    <w:t xml:space="preserve">기타 </w:t>
                  </w:r>
                  <w:proofErr w:type="spellStart"/>
                  <w:r w:rsidRPr="00070C5E">
                    <w:rPr>
                      <w:rFonts w:ascii="한컴바탕" w:eastAsia="한컴바탕" w:hAnsi="한컴바탕" w:cs="한컴바탕" w:hint="eastAsia"/>
                      <w:color w:val="000000"/>
                      <w:spacing w:val="-6"/>
                      <w:kern w:val="0"/>
                      <w:szCs w:val="21"/>
                      <w:lang w:eastAsia="ko-KR"/>
                    </w:rPr>
                    <w:t>냉각량</w:t>
                  </w:r>
                  <w:proofErr w:type="spellEnd"/>
                  <w:r w:rsidRPr="00070C5E">
                    <w:rPr>
                      <w:rFonts w:ascii="한컴바탕" w:eastAsia="한컴바탕" w:hAnsi="한컴바탕" w:cs="한컴바탕" w:hint="eastAsia"/>
                      <w:color w:val="000000"/>
                      <w:spacing w:val="-6"/>
                      <w:kern w:val="0"/>
                      <w:szCs w:val="21"/>
                      <w:lang w:eastAsia="ko-KR"/>
                    </w:rPr>
                    <w:t xml:space="preserve"> 14,000W급 이하의 실내 에어컨</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7</w:t>
                  </w:r>
                </w:p>
              </w:tc>
            </w:tr>
            <w:tr w:rsidR="001E23D0" w:rsidRPr="00254EB3" w:rsidTr="00985922">
              <w:trPr>
                <w:gridAfter w:val="1"/>
                <w:wAfter w:w="14" w:type="dxa"/>
                <w:trHeight w:val="456"/>
                <w:jc w:val="center"/>
              </w:trPr>
              <w:tc>
                <w:tcPr>
                  <w:tcW w:w="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5</w:t>
                  </w:r>
                </w:p>
              </w:tc>
              <w:tc>
                <w:tcPr>
                  <w:tcW w:w="5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초소형</w:t>
                  </w:r>
                </w:p>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lang w:eastAsia="ko-KR"/>
                    </w:rPr>
                  </w:pPr>
                </w:p>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hint="eastAsia"/>
                      <w:color w:val="000000"/>
                      <w:kern w:val="0"/>
                      <w:szCs w:val="21"/>
                      <w:lang w:eastAsia="ko-KR"/>
                    </w:rPr>
                    <w:t>컴</w:t>
                  </w:r>
                  <w:r w:rsidRPr="00254EB3">
                    <w:rPr>
                      <w:rFonts w:ascii="Gulim" w:eastAsia="Gulim" w:hAnsi="Gulim" w:cs="Courier New" w:hint="eastAsia"/>
                      <w:color w:val="000000"/>
                      <w:kern w:val="0"/>
                      <w:szCs w:val="21"/>
                      <w:lang w:eastAsia="ko-KR"/>
                    </w:rPr>
                    <w:lastRenderedPageBreak/>
                    <w:t>퓨터</w:t>
                  </w: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proofErr w:type="spellStart"/>
                  <w:r w:rsidRPr="00254EB3">
                    <w:rPr>
                      <w:rFonts w:ascii="Gulim" w:eastAsia="Gulim" w:hAnsi="Gulim" w:cs="Courier New" w:hint="eastAsia"/>
                      <w:color w:val="000000"/>
                      <w:kern w:val="0"/>
                      <w:szCs w:val="21"/>
                      <w:lang w:eastAsia="ko-KR"/>
                    </w:rPr>
                    <w:lastRenderedPageBreak/>
                    <w:t>데스크탑</w:t>
                  </w:r>
                  <w:proofErr w:type="spellEnd"/>
                  <w:r w:rsidRPr="00254EB3">
                    <w:rPr>
                      <w:rFonts w:ascii="Gulim" w:eastAsia="Gulim" w:hAnsi="Gulim" w:cs="Courier New" w:hint="eastAsia"/>
                      <w:color w:val="000000"/>
                      <w:kern w:val="0"/>
                      <w:szCs w:val="21"/>
                      <w:lang w:eastAsia="ko-KR"/>
                    </w:rPr>
                    <w:t xml:space="preserve"> 초소형 컴퓨터의 모니터</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10</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070C5E" w:rsidRDefault="001E23D0" w:rsidP="00985922">
                  <w:pPr>
                    <w:wordWrap w:val="0"/>
                    <w:topLinePunct/>
                    <w:adjustRightInd w:val="0"/>
                    <w:snapToGrid w:val="0"/>
                    <w:spacing w:line="300" w:lineRule="auto"/>
                    <w:rPr>
                      <w:rFonts w:ascii="한컴바탕" w:eastAsia="한컴바탕" w:hAnsi="한컴바탕" w:cs="한컴바탕"/>
                      <w:color w:val="000000"/>
                      <w:spacing w:val="-6"/>
                      <w:kern w:val="0"/>
                      <w:szCs w:val="21"/>
                      <w:lang w:eastAsia="ko-KR"/>
                    </w:rPr>
                  </w:pPr>
                  <w:r w:rsidRPr="00070C5E">
                    <w:rPr>
                      <w:rFonts w:ascii="한컴바탕" w:eastAsia="한컴바탕" w:hAnsi="한컴바탕" w:cs="한컴바탕" w:hint="eastAsia"/>
                      <w:color w:val="000000"/>
                      <w:spacing w:val="-6"/>
                      <w:kern w:val="0"/>
                      <w:szCs w:val="21"/>
                      <w:lang w:eastAsia="ko-KR"/>
                    </w:rPr>
                    <w:t xml:space="preserve">본체, 모니터 일체형의 </w:t>
                  </w:r>
                  <w:proofErr w:type="spellStart"/>
                  <w:r w:rsidRPr="00070C5E">
                    <w:rPr>
                      <w:rFonts w:ascii="한컴바탕" w:eastAsia="한컴바탕" w:hAnsi="한컴바탕" w:cs="한컴바탕" w:hint="eastAsia"/>
                      <w:color w:val="000000"/>
                      <w:spacing w:val="-6"/>
                      <w:kern w:val="0"/>
                      <w:szCs w:val="21"/>
                      <w:lang w:eastAsia="ko-KR"/>
                    </w:rPr>
                    <w:t>데스크탑</w:t>
                  </w:r>
                  <w:proofErr w:type="spellEnd"/>
                  <w:r w:rsidRPr="00070C5E">
                    <w:rPr>
                      <w:rFonts w:ascii="한컴바탕" w:eastAsia="한컴바탕" w:hAnsi="한컴바탕" w:cs="한컴바탕" w:hint="eastAsia"/>
                      <w:color w:val="000000"/>
                      <w:spacing w:val="-6"/>
                      <w:kern w:val="0"/>
                      <w:szCs w:val="21"/>
                      <w:lang w:eastAsia="ko-KR"/>
                    </w:rPr>
                    <w:t xml:space="preserve"> 초소형 컴퓨터</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10</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휴대형 초소형 컴퓨터</w:t>
                  </w:r>
                </w:p>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lastRenderedPageBreak/>
                    <w:t>(</w:t>
                  </w:r>
                  <w:proofErr w:type="spellStart"/>
                  <w:r w:rsidRPr="00254EB3">
                    <w:rPr>
                      <w:rFonts w:ascii="Gulim" w:eastAsia="Gulim" w:hAnsi="Gulim" w:cs="Courier New" w:hint="eastAsia"/>
                      <w:color w:val="000000"/>
                      <w:kern w:val="0"/>
                      <w:szCs w:val="21"/>
                      <w:lang w:eastAsia="ko-KR"/>
                    </w:rPr>
                    <w:t>태블릿</w:t>
                  </w:r>
                  <w:proofErr w:type="spellEnd"/>
                  <w:r w:rsidRPr="00254EB3">
                    <w:rPr>
                      <w:rFonts w:ascii="Gulim" w:eastAsia="Gulim" w:hAnsi="Gulim" w:cs="Courier New" w:hint="eastAsia"/>
                      <w:color w:val="000000"/>
                      <w:kern w:val="0"/>
                      <w:szCs w:val="21"/>
                      <w:lang w:eastAsia="ko-KR"/>
                    </w:rPr>
                    <w:t xml:space="preserve"> PC, 개인용 휴대단말기 포함)</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lastRenderedPageBreak/>
                    <w:t>10</w:t>
                  </w:r>
                </w:p>
              </w:tc>
            </w:tr>
            <w:tr w:rsidR="001E23D0" w:rsidRPr="00254EB3" w:rsidTr="00985922">
              <w:trPr>
                <w:gridAfter w:val="1"/>
                <w:wAfter w:w="14" w:type="dxa"/>
                <w:trHeight w:val="456"/>
                <w:jc w:val="center"/>
              </w:trPr>
              <w:tc>
                <w:tcPr>
                  <w:tcW w:w="197"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503" w:type="dxa"/>
                  <w:vMerge/>
                  <w:tcBorders>
                    <w:top w:val="nil"/>
                    <w:left w:val="single" w:sz="4" w:space="0" w:color="auto"/>
                    <w:bottom w:val="single" w:sz="4" w:space="0" w:color="000000"/>
                    <w:right w:val="single" w:sz="4" w:space="0" w:color="auto"/>
                  </w:tcBorders>
                  <w:vAlign w:val="center"/>
                  <w:hideMark/>
                </w:tcPr>
                <w:p w:rsidR="001E23D0" w:rsidRPr="00254EB3" w:rsidRDefault="001E23D0" w:rsidP="00985922">
                  <w:pPr>
                    <w:wordWrap w:val="0"/>
                    <w:topLinePunct/>
                    <w:adjustRightInd w:val="0"/>
                    <w:snapToGrid w:val="0"/>
                    <w:spacing w:line="300" w:lineRule="auto"/>
                    <w:jc w:val="left"/>
                    <w:rPr>
                      <w:rFonts w:ascii="Gulim" w:eastAsia="Gulim" w:hAnsi="Gulim" w:cs="Courier New"/>
                      <w:color w:val="000000"/>
                      <w:kern w:val="0"/>
                      <w:szCs w:val="21"/>
                    </w:rPr>
                  </w:pPr>
                </w:p>
              </w:tc>
              <w:tc>
                <w:tcPr>
                  <w:tcW w:w="2429" w:type="dxa"/>
                  <w:tcBorders>
                    <w:top w:val="nil"/>
                    <w:left w:val="nil"/>
                    <w:bottom w:val="single" w:sz="4" w:space="0" w:color="auto"/>
                    <w:right w:val="single" w:sz="4" w:space="0" w:color="auto"/>
                  </w:tcBorders>
                  <w:shd w:val="clear" w:color="auto" w:fill="auto"/>
                  <w:vAlign w:val="center"/>
                  <w:hideMark/>
                </w:tcPr>
                <w:p w:rsidR="001E23D0" w:rsidRPr="00254EB3" w:rsidRDefault="001E23D0" w:rsidP="00985922">
                  <w:pPr>
                    <w:wordWrap w:val="0"/>
                    <w:topLinePunct/>
                    <w:adjustRightInd w:val="0"/>
                    <w:snapToGrid w:val="0"/>
                    <w:spacing w:line="300" w:lineRule="auto"/>
                    <w:rPr>
                      <w:rFonts w:ascii="Gulim" w:eastAsia="Gulim" w:hAnsi="Gulim" w:cs="Courier New"/>
                      <w:color w:val="000000"/>
                      <w:kern w:val="0"/>
                      <w:szCs w:val="21"/>
                      <w:lang w:eastAsia="ko-KR"/>
                    </w:rPr>
                  </w:pPr>
                  <w:r w:rsidRPr="00254EB3">
                    <w:rPr>
                      <w:rFonts w:ascii="Gulim" w:eastAsia="Gulim" w:hAnsi="Gulim" w:cs="Courier New" w:hint="eastAsia"/>
                      <w:color w:val="000000"/>
                      <w:kern w:val="0"/>
                      <w:szCs w:val="21"/>
                      <w:lang w:eastAsia="ko-KR"/>
                    </w:rPr>
                    <w:t>기타 정보사무처리 기기</w:t>
                  </w:r>
                </w:p>
              </w:tc>
              <w:tc>
                <w:tcPr>
                  <w:tcW w:w="950" w:type="dxa"/>
                  <w:tcBorders>
                    <w:top w:val="nil"/>
                    <w:left w:val="nil"/>
                    <w:bottom w:val="single" w:sz="4" w:space="0" w:color="auto"/>
                    <w:right w:val="single" w:sz="4" w:space="0" w:color="auto"/>
                  </w:tcBorders>
                  <w:shd w:val="clear" w:color="auto" w:fill="auto"/>
                  <w:noWrap/>
                  <w:vAlign w:val="center"/>
                  <w:hideMark/>
                </w:tcPr>
                <w:p w:rsidR="001E23D0" w:rsidRPr="00254EB3" w:rsidRDefault="001E23D0" w:rsidP="00985922">
                  <w:pPr>
                    <w:wordWrap w:val="0"/>
                    <w:topLinePunct/>
                    <w:adjustRightInd w:val="0"/>
                    <w:snapToGrid w:val="0"/>
                    <w:spacing w:line="300" w:lineRule="auto"/>
                    <w:jc w:val="center"/>
                    <w:rPr>
                      <w:rFonts w:ascii="Gulim" w:eastAsia="Gulim" w:hAnsi="Gulim" w:cs="Courier New"/>
                      <w:color w:val="000000"/>
                      <w:kern w:val="0"/>
                      <w:szCs w:val="21"/>
                    </w:rPr>
                  </w:pPr>
                  <w:r w:rsidRPr="00254EB3">
                    <w:rPr>
                      <w:rFonts w:ascii="Gulim" w:eastAsia="Gulim" w:hAnsi="Gulim" w:cs="Courier New"/>
                      <w:color w:val="000000"/>
                      <w:kern w:val="0"/>
                      <w:szCs w:val="21"/>
                    </w:rPr>
                    <w:t>10</w:t>
                  </w:r>
                </w:p>
              </w:tc>
            </w:tr>
          </w:tbl>
          <w:p w:rsidR="00A04DAE"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070C5E" w:rsidRPr="00652482" w:rsidRDefault="00070C5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Default="00A04DAE" w:rsidP="00652482">
            <w:pPr>
              <w:wordWrap w:val="0"/>
              <w:topLinePunct/>
              <w:autoSpaceDN w:val="0"/>
              <w:adjustRightInd w:val="0"/>
              <w:snapToGrid w:val="0"/>
              <w:spacing w:line="290" w:lineRule="atLeast"/>
              <w:jc w:val="lef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 xml:space="preserve">첨부 </w:t>
            </w:r>
            <w:proofErr w:type="gramStart"/>
            <w:r w:rsidRPr="00652482">
              <w:rPr>
                <w:rFonts w:ascii="한컴바탕" w:eastAsia="한컴바탕" w:hAnsi="한컴바탕" w:cs="한컴바탕" w:hint="eastAsia"/>
                <w:szCs w:val="21"/>
                <w:lang w:eastAsia="ko-KR"/>
              </w:rPr>
              <w:t>2 :</w:t>
            </w:r>
            <w:proofErr w:type="gramEnd"/>
            <w:r w:rsidRPr="00652482">
              <w:rPr>
                <w:rFonts w:ascii="한컴바탕" w:eastAsia="한컴바탕" w:hAnsi="한컴바탕" w:cs="한컴바탕" w:hint="eastAsia"/>
                <w:szCs w:val="21"/>
                <w:lang w:eastAsia="ko-KR"/>
              </w:rPr>
              <w:t xml:space="preserve"> </w:t>
            </w:r>
          </w:p>
          <w:p w:rsidR="00070C5E" w:rsidRDefault="00070C5E" w:rsidP="00652482">
            <w:pPr>
              <w:wordWrap w:val="0"/>
              <w:topLinePunct/>
              <w:autoSpaceDN w:val="0"/>
              <w:adjustRightInd w:val="0"/>
              <w:snapToGrid w:val="0"/>
              <w:spacing w:line="290" w:lineRule="atLeast"/>
              <w:jc w:val="left"/>
              <w:rPr>
                <w:rFonts w:ascii="한컴바탕" w:eastAsia="한컴바탕" w:hAnsi="한컴바탕" w:cs="한컴바탕" w:hint="eastAsia"/>
                <w:szCs w:val="21"/>
                <w:lang w:eastAsia="ko-KR"/>
              </w:rPr>
            </w:pPr>
          </w:p>
          <w:p w:rsidR="00070C5E" w:rsidRDefault="00070C5E" w:rsidP="00652482">
            <w:pPr>
              <w:wordWrap w:val="0"/>
              <w:topLinePunct/>
              <w:autoSpaceDN w:val="0"/>
              <w:adjustRightInd w:val="0"/>
              <w:snapToGrid w:val="0"/>
              <w:spacing w:line="290" w:lineRule="atLeast"/>
              <w:jc w:val="left"/>
              <w:rPr>
                <w:rFonts w:ascii="한컴바탕" w:eastAsia="한컴바탕" w:hAnsi="한컴바탕" w:cs="한컴바탕" w:hint="eastAsia"/>
                <w:szCs w:val="21"/>
                <w:lang w:eastAsia="ko-KR"/>
              </w:rPr>
            </w:pPr>
          </w:p>
          <w:p w:rsidR="00070C5E" w:rsidRPr="00652482" w:rsidRDefault="00070C5E" w:rsidP="00652482">
            <w:pPr>
              <w:wordWrap w:val="0"/>
              <w:topLinePunct/>
              <w:autoSpaceDN w:val="0"/>
              <w:adjustRightInd w:val="0"/>
              <w:snapToGrid w:val="0"/>
              <w:spacing w:line="290" w:lineRule="atLeast"/>
              <w:jc w:val="left"/>
              <w:rPr>
                <w:rFonts w:ascii="한컴바탕" w:eastAsia="한컴바탕" w:hAnsi="한컴바탕" w:cs="한컴바탕" w:hint="eastAsia"/>
                <w:szCs w:val="21"/>
                <w:lang w:eastAsia="ko-KR"/>
              </w:rPr>
            </w:pPr>
          </w:p>
          <w:p w:rsidR="00AD071F"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 xml:space="preserve">수입한 전기전자제품에 대하여 기금징수가 </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 xml:space="preserve">적용되는 상품 명칭, </w:t>
            </w:r>
          </w:p>
          <w:tbl>
            <w:tblPr>
              <w:tblW w:w="4683" w:type="dxa"/>
              <w:jc w:val="center"/>
              <w:tblLayout w:type="fixed"/>
              <w:tblLook w:val="04A0"/>
            </w:tblPr>
            <w:tblGrid>
              <w:gridCol w:w="497"/>
              <w:gridCol w:w="497"/>
              <w:gridCol w:w="2208"/>
              <w:gridCol w:w="793"/>
              <w:gridCol w:w="688"/>
            </w:tblGrid>
            <w:tr w:rsidR="00A04DAE" w:rsidRPr="00652482" w:rsidTr="00AD071F">
              <w:trPr>
                <w:trHeight w:val="90"/>
                <w:jc w:val="center"/>
              </w:trPr>
              <w:tc>
                <w:tcPr>
                  <w:tcW w:w="4683" w:type="dxa"/>
                  <w:gridSpan w:val="5"/>
                  <w:tcBorders>
                    <w:top w:val="nil"/>
                    <w:left w:val="nil"/>
                    <w:bottom w:val="nil"/>
                    <w:right w:val="nil"/>
                  </w:tcBorders>
                  <w:shd w:val="clear" w:color="auto" w:fill="auto"/>
                  <w:noWrap/>
                  <w:vAlign w:val="center"/>
                  <w:hideMark/>
                </w:tcPr>
                <w:p w:rsidR="00A04DAE" w:rsidRDefault="00A04DAE" w:rsidP="00AD071F">
                  <w:pPr>
                    <w:wordWrap w:val="0"/>
                    <w:topLinePunct/>
                    <w:autoSpaceDN w:val="0"/>
                    <w:adjustRightInd w:val="0"/>
                    <w:snapToGrid w:val="0"/>
                    <w:spacing w:line="290" w:lineRule="atLeast"/>
                    <w:rPr>
                      <w:rFonts w:ascii="한컴바탕" w:eastAsia="한컴바탕" w:hAnsi="한컴바탕" w:cs="한컴바탕" w:hint="eastAsia"/>
                      <w:b/>
                      <w:szCs w:val="21"/>
                      <w:lang w:eastAsia="ko-KR"/>
                    </w:rPr>
                  </w:pPr>
                  <w:r w:rsidRPr="00652482">
                    <w:rPr>
                      <w:rFonts w:ascii="한컴바탕" w:eastAsia="한컴바탕" w:hAnsi="한컴바탕" w:cs="한컴바탕" w:hint="eastAsia"/>
                      <w:b/>
                      <w:szCs w:val="21"/>
                      <w:lang w:eastAsia="ko-KR"/>
                    </w:rPr>
                    <w:t>해관HS코드 및 징수표준 (2012년판)</w:t>
                  </w:r>
                </w:p>
                <w:p w:rsidR="00AD071F" w:rsidRDefault="00AD071F" w:rsidP="00652482">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AD071F" w:rsidRDefault="00AD071F" w:rsidP="00AD071F">
                  <w:pPr>
                    <w:wordWrap w:val="0"/>
                    <w:topLinePunct/>
                    <w:autoSpaceDN w:val="0"/>
                    <w:adjustRightInd w:val="0"/>
                    <w:snapToGrid w:val="0"/>
                    <w:spacing w:line="290" w:lineRule="atLeast"/>
                    <w:rPr>
                      <w:rFonts w:ascii="한컴바탕" w:eastAsia="한컴바탕" w:hAnsi="한컴바탕" w:cs="한컴바탕" w:hint="eastAsia"/>
                      <w:b/>
                      <w:szCs w:val="21"/>
                      <w:lang w:eastAsia="ko-KR"/>
                    </w:rPr>
                  </w:pPr>
                </w:p>
                <w:p w:rsidR="00AD071F" w:rsidRPr="00652482" w:rsidRDefault="00AD071F" w:rsidP="00AD071F">
                  <w:pPr>
                    <w:wordWrap w:val="0"/>
                    <w:topLinePunct/>
                    <w:autoSpaceDN w:val="0"/>
                    <w:adjustRightInd w:val="0"/>
                    <w:snapToGrid w:val="0"/>
                    <w:spacing w:line="290" w:lineRule="atLeast"/>
                    <w:rPr>
                      <w:rFonts w:ascii="한컴바탕" w:eastAsia="한컴바탕" w:hAnsi="한컴바탕" w:cs="한컴바탕" w:hint="eastAsia"/>
                      <w:b/>
                      <w:color w:val="000000"/>
                      <w:kern w:val="0"/>
                      <w:szCs w:val="21"/>
                      <w:lang w:eastAsia="ko-KR"/>
                    </w:rPr>
                  </w:pPr>
                </w:p>
              </w:tc>
            </w:tr>
            <w:tr w:rsidR="00A04DAE" w:rsidRPr="00652482" w:rsidTr="00AD071F">
              <w:trPr>
                <w:trHeight w:val="221"/>
                <w:jc w:val="center"/>
              </w:trPr>
              <w:tc>
                <w:tcPr>
                  <w:tcW w:w="4683" w:type="dxa"/>
                  <w:gridSpan w:val="5"/>
                  <w:tcBorders>
                    <w:top w:val="nil"/>
                    <w:left w:val="nil"/>
                    <w:right w:val="nil"/>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
              </w:tc>
            </w:tr>
            <w:tr w:rsidR="00A04DAE" w:rsidRPr="00652482" w:rsidTr="00AD071F">
              <w:trPr>
                <w:trHeight w:val="2277"/>
                <w:jc w:val="cent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lang w:eastAsia="ko-KR"/>
                    </w:rPr>
                    <w:t>순번</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제품</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lang w:eastAsia="ko-KR"/>
                    </w:rPr>
                    <w:t>유형</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lang w:eastAsia="ko-KR"/>
                    </w:rPr>
                    <w:t>상품명칭</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lang w:eastAsia="ko-KR"/>
                    </w:rPr>
                    <w:t>HS코드</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징수표준</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lang w:eastAsia="ko-KR"/>
                    </w:rPr>
                    <w:t>(위안/대)</w:t>
                  </w:r>
                </w:p>
              </w:tc>
            </w:tr>
            <w:tr w:rsidR="00A04DAE" w:rsidRPr="00652482" w:rsidTr="00AD071F">
              <w:trPr>
                <w:trHeight w:val="655"/>
                <w:jc w:val="center"/>
              </w:trPr>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T</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V</w:t>
                  </w: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아날로그 TV수신기, 음극선관(CRT) 브라운관</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85287211</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디지털TV수신기, 음극선관(CRT)브라운관</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85287212</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TV수신기, 음극선관(CRT)브라운관</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85287219</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컬러 액정표시장치(LCD)의 아날로그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85287221</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컬러 액정표시장치(LCD)의 디지털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85287222</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액정표시장치(LCD)의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85287229</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AD071F"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spacing w:val="-12"/>
                      <w:kern w:val="0"/>
                      <w:szCs w:val="21"/>
                      <w:lang w:eastAsia="ko-KR"/>
                    </w:rPr>
                  </w:pPr>
                  <w:r w:rsidRPr="00AD071F">
                    <w:rPr>
                      <w:rFonts w:ascii="한컴바탕" w:eastAsia="한컴바탕" w:hAnsi="한컴바탕" w:cs="한컴바탕" w:hint="eastAsia"/>
                      <w:color w:val="000000"/>
                      <w:spacing w:val="-12"/>
                      <w:kern w:val="0"/>
                      <w:szCs w:val="21"/>
                      <w:lang w:eastAsia="ko-KR"/>
                    </w:rPr>
                    <w:t xml:space="preserve">컬러 </w:t>
                  </w:r>
                  <w:proofErr w:type="spellStart"/>
                  <w:r w:rsidRPr="00AD071F">
                    <w:rPr>
                      <w:rFonts w:ascii="한컴바탕" w:eastAsia="한컴바탕" w:hAnsi="한컴바탕" w:cs="한컴바탕" w:hint="eastAsia"/>
                      <w:color w:val="000000"/>
                      <w:spacing w:val="-12"/>
                      <w:kern w:val="0"/>
                      <w:szCs w:val="21"/>
                      <w:lang w:eastAsia="ko-KR"/>
                    </w:rPr>
                    <w:t>플라즈마</w:t>
                  </w:r>
                  <w:proofErr w:type="spellEnd"/>
                  <w:r w:rsidRPr="00AD071F">
                    <w:rPr>
                      <w:rFonts w:ascii="한컴바탕" w:eastAsia="한컴바탕" w:hAnsi="한컴바탕" w:cs="한컴바탕" w:hint="eastAsia"/>
                      <w:color w:val="000000"/>
                      <w:spacing w:val="-12"/>
                      <w:kern w:val="0"/>
                      <w:szCs w:val="21"/>
                      <w:lang w:eastAsia="ko-KR"/>
                    </w:rPr>
                    <w:t xml:space="preserve"> 모니터의 아날로그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85287231</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컬러 </w:t>
                  </w:r>
                  <w:proofErr w:type="spellStart"/>
                  <w:r w:rsidRPr="00652482">
                    <w:rPr>
                      <w:rFonts w:ascii="한컴바탕" w:eastAsia="한컴바탕" w:hAnsi="한컴바탕" w:cs="한컴바탕" w:hint="eastAsia"/>
                      <w:color w:val="000000"/>
                      <w:kern w:val="0"/>
                      <w:szCs w:val="21"/>
                      <w:lang w:eastAsia="ko-KR"/>
                    </w:rPr>
                    <w:t>플라즈마</w:t>
                  </w:r>
                  <w:proofErr w:type="spellEnd"/>
                  <w:r w:rsidRPr="00652482">
                    <w:rPr>
                      <w:rFonts w:ascii="한컴바탕" w:eastAsia="한컴바탕" w:hAnsi="한컴바탕" w:cs="한컴바탕" w:hint="eastAsia"/>
                      <w:color w:val="000000"/>
                      <w:kern w:val="0"/>
                      <w:szCs w:val="21"/>
                      <w:lang w:eastAsia="ko-KR"/>
                    </w:rPr>
                    <w:t xml:space="preserve"> 모니터의 디지털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85287232</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829"/>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기타 컬러 </w:t>
                  </w:r>
                  <w:proofErr w:type="spellStart"/>
                  <w:r w:rsidRPr="00652482">
                    <w:rPr>
                      <w:rFonts w:ascii="한컴바탕" w:eastAsia="한컴바탕" w:hAnsi="한컴바탕" w:cs="한컴바탕" w:hint="eastAsia"/>
                      <w:color w:val="000000"/>
                      <w:kern w:val="0"/>
                      <w:szCs w:val="21"/>
                      <w:lang w:eastAsia="ko-KR"/>
                    </w:rPr>
                    <w:t>플라즈마</w:t>
                  </w:r>
                  <w:proofErr w:type="spellEnd"/>
                  <w:r w:rsidRPr="00652482">
                    <w:rPr>
                      <w:rFonts w:ascii="한컴바탕" w:eastAsia="한컴바탕" w:hAnsi="한컴바탕" w:cs="한컴바탕" w:hint="eastAsia"/>
                      <w:color w:val="000000"/>
                      <w:kern w:val="0"/>
                      <w:szCs w:val="21"/>
                      <w:lang w:eastAsia="ko-KR"/>
                    </w:rPr>
                    <w:t xml:space="preserve"> 모니터의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85287239</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699"/>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아날로그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85287291</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디지털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85287292</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803"/>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85287299</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701"/>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흑백 또는 기타 단색TV수신기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85287300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13</w:t>
                  </w:r>
                </w:p>
              </w:tc>
            </w:tr>
            <w:tr w:rsidR="00A04DAE" w:rsidRPr="00652482" w:rsidTr="00AD071F">
              <w:trPr>
                <w:trHeight w:val="711"/>
                <w:jc w:val="center"/>
              </w:trPr>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2</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냉</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장</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고</w:t>
                  </w: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용적&gt;500리터 냉장-</w:t>
                  </w:r>
                  <w:proofErr w:type="spellStart"/>
                  <w:r w:rsidRPr="00652482">
                    <w:rPr>
                      <w:rFonts w:ascii="한컴바탕" w:eastAsia="한컴바탕" w:hAnsi="한컴바탕" w:cs="한컴바탕" w:hint="eastAsia"/>
                      <w:color w:val="000000"/>
                      <w:kern w:val="0"/>
                      <w:szCs w:val="21"/>
                      <w:lang w:eastAsia="ko-KR"/>
                    </w:rPr>
                    <w:t>냉동조합기</w:t>
                  </w:r>
                  <w:proofErr w:type="spellEnd"/>
                  <w:r w:rsidRPr="00652482">
                    <w:rPr>
                      <w:rFonts w:ascii="한컴바탕" w:eastAsia="한컴바탕" w:hAnsi="한컴바탕" w:cs="한컴바탕" w:hint="eastAsia"/>
                      <w:color w:val="000000"/>
                      <w:kern w:val="0"/>
                      <w:szCs w:val="21"/>
                      <w:lang w:eastAsia="ko-KR"/>
                    </w:rPr>
                    <w:t xml:space="preserve">(각 별도 외부도어 장착) </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84181010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723"/>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200리터&lt;용적≤500리터 냉장-</w:t>
                  </w:r>
                  <w:proofErr w:type="spellStart"/>
                  <w:r w:rsidRPr="00652482">
                    <w:rPr>
                      <w:rFonts w:ascii="한컴바탕" w:eastAsia="한컴바탕" w:hAnsi="한컴바탕" w:cs="한컴바탕" w:hint="eastAsia"/>
                      <w:color w:val="000000"/>
                      <w:kern w:val="0"/>
                      <w:szCs w:val="21"/>
                      <w:lang w:eastAsia="ko-KR"/>
                    </w:rPr>
                    <w:t>냉동조합기</w:t>
                  </w:r>
                  <w:proofErr w:type="spellEnd"/>
                  <w:r w:rsidRPr="00652482">
                    <w:rPr>
                      <w:rFonts w:ascii="한컴바탕" w:eastAsia="한컴바탕" w:hAnsi="한컴바탕" w:cs="한컴바탕" w:hint="eastAsia"/>
                      <w:color w:val="000000"/>
                      <w:kern w:val="0"/>
                      <w:szCs w:val="21"/>
                      <w:lang w:eastAsia="ko-KR"/>
                    </w:rPr>
                    <w:t>(각 별도 외부도어 장착)</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84181020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723"/>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용적&gt;200리터 냉장-</w:t>
                  </w:r>
                  <w:proofErr w:type="spellStart"/>
                  <w:r w:rsidRPr="00652482">
                    <w:rPr>
                      <w:rFonts w:ascii="한컴바탕" w:eastAsia="한컴바탕" w:hAnsi="한컴바탕" w:cs="한컴바탕" w:hint="eastAsia"/>
                      <w:color w:val="000000"/>
                      <w:kern w:val="0"/>
                      <w:szCs w:val="21"/>
                      <w:lang w:eastAsia="ko-KR"/>
                    </w:rPr>
                    <w:t>냉동조합기</w:t>
                  </w:r>
                  <w:proofErr w:type="spellEnd"/>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(각 별도 외부도어 장착)</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84181030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743"/>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용적&gt;150리터 </w:t>
                  </w:r>
                  <w:proofErr w:type="spellStart"/>
                  <w:r w:rsidRPr="00652482">
                    <w:rPr>
                      <w:rFonts w:ascii="한컴바탕" w:eastAsia="한컴바탕" w:hAnsi="한컴바탕" w:cs="한컴바탕" w:hint="eastAsia"/>
                      <w:color w:val="000000"/>
                      <w:kern w:val="0"/>
                      <w:szCs w:val="21"/>
                      <w:lang w:eastAsia="ko-KR"/>
                    </w:rPr>
                    <w:t>압축식</w:t>
                  </w:r>
                  <w:proofErr w:type="spellEnd"/>
                  <w:r w:rsidRPr="00652482">
                    <w:rPr>
                      <w:rFonts w:ascii="한컴바탕" w:eastAsia="한컴바탕" w:hAnsi="한컴바탕" w:cs="한컴바탕" w:hint="eastAsia"/>
                      <w:color w:val="000000"/>
                      <w:kern w:val="0"/>
                      <w:szCs w:val="21"/>
                      <w:lang w:eastAsia="ko-KR"/>
                    </w:rPr>
                    <w:t xml:space="preserve"> 가전용 냉장고</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84182110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압축식</w:t>
                  </w:r>
                  <w:proofErr w:type="spellEnd"/>
                  <w:r w:rsidRPr="00652482">
                    <w:rPr>
                      <w:rFonts w:ascii="한컴바탕" w:eastAsia="한컴바탕" w:hAnsi="한컴바탕" w:cs="한컴바탕" w:hint="eastAsia"/>
                      <w:color w:val="000000"/>
                      <w:kern w:val="0"/>
                      <w:szCs w:val="21"/>
                      <w:lang w:eastAsia="ko-KR"/>
                    </w:rPr>
                    <w:t xml:space="preserve"> 가전용 냉장고(50리터&lt;용적≤150리터)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84182120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667"/>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용적≤50리터 </w:t>
                  </w:r>
                  <w:proofErr w:type="spellStart"/>
                  <w:r w:rsidRPr="00652482">
                    <w:rPr>
                      <w:rFonts w:ascii="한컴바탕" w:eastAsia="한컴바탕" w:hAnsi="한컴바탕" w:cs="한컴바탕" w:hint="eastAsia"/>
                      <w:color w:val="000000"/>
                      <w:kern w:val="0"/>
                      <w:szCs w:val="21"/>
                      <w:lang w:eastAsia="ko-KR"/>
                    </w:rPr>
                    <w:t>압축식</w:t>
                  </w:r>
                  <w:proofErr w:type="spellEnd"/>
                  <w:r w:rsidRPr="00652482">
                    <w:rPr>
                      <w:rFonts w:ascii="한컴바탕" w:eastAsia="한컴바탕" w:hAnsi="한컴바탕" w:cs="한컴바탕" w:hint="eastAsia"/>
                      <w:color w:val="000000"/>
                      <w:kern w:val="0"/>
                      <w:szCs w:val="21"/>
                      <w:lang w:eastAsia="ko-KR"/>
                    </w:rPr>
                    <w:t xml:space="preserve"> 가전용 냉장고</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84182130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704"/>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반도체 </w:t>
                  </w:r>
                  <w:proofErr w:type="spellStart"/>
                  <w:r w:rsidRPr="00652482">
                    <w:rPr>
                      <w:rFonts w:ascii="한컴바탕" w:eastAsia="한컴바탕" w:hAnsi="한컴바탕" w:cs="한컴바탕" w:hint="eastAsia"/>
                      <w:color w:val="000000"/>
                      <w:kern w:val="0"/>
                      <w:szCs w:val="21"/>
                      <w:lang w:eastAsia="ko-KR"/>
                    </w:rPr>
                    <w:t>냉각식</w:t>
                  </w:r>
                  <w:proofErr w:type="spellEnd"/>
                  <w:r w:rsidRPr="00652482">
                    <w:rPr>
                      <w:rFonts w:ascii="한컴바탕" w:eastAsia="한컴바탕" w:hAnsi="한컴바탕" w:cs="한컴바탕" w:hint="eastAsia"/>
                      <w:color w:val="000000"/>
                      <w:kern w:val="0"/>
                      <w:szCs w:val="21"/>
                      <w:lang w:eastAsia="ko-KR"/>
                    </w:rPr>
                    <w:t xml:space="preserve"> 가전용 냉장고</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84182910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714"/>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전기흡착식</w:t>
                  </w:r>
                  <w:proofErr w:type="spellEnd"/>
                  <w:r w:rsidRPr="00652482">
                    <w:rPr>
                      <w:rFonts w:ascii="한컴바탕" w:eastAsia="한컴바탕" w:hAnsi="한컴바탕" w:cs="한컴바탕" w:hint="eastAsia"/>
                      <w:color w:val="000000"/>
                      <w:kern w:val="0"/>
                      <w:szCs w:val="21"/>
                      <w:lang w:eastAsia="ko-KR"/>
                    </w:rPr>
                    <w:t xml:space="preserve"> 가전용 냉장고</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84182920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가전용 냉장고</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84182990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711"/>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냉각온도&gt;-40℃ 소형 </w:t>
                  </w:r>
                  <w:proofErr w:type="spellStart"/>
                  <w:r w:rsidRPr="00652482">
                    <w:rPr>
                      <w:rFonts w:ascii="한컴바탕" w:eastAsia="한컴바탕" w:hAnsi="한컴바탕" w:cs="한컴바탕" w:hint="eastAsia"/>
                      <w:color w:val="000000"/>
                      <w:kern w:val="0"/>
                      <w:szCs w:val="21"/>
                      <w:lang w:eastAsia="ko-KR"/>
                    </w:rPr>
                    <w:t>캐비닛형</w:t>
                  </w:r>
                  <w:proofErr w:type="spellEnd"/>
                  <w:r w:rsidRPr="00652482">
                    <w:rPr>
                      <w:rFonts w:ascii="한컴바탕" w:eastAsia="한컴바탕" w:hAnsi="한컴바탕" w:cs="한컴바탕" w:hint="eastAsia"/>
                      <w:color w:val="000000"/>
                      <w:kern w:val="0"/>
                      <w:szCs w:val="21"/>
                      <w:lang w:eastAsia="ko-KR"/>
                    </w:rPr>
                    <w:t xml:space="preserve"> </w:t>
                  </w:r>
                  <w:proofErr w:type="spellStart"/>
                  <w:r w:rsidRPr="00652482">
                    <w:rPr>
                      <w:rFonts w:ascii="한컴바탕" w:eastAsia="한컴바탕" w:hAnsi="한컴바탕" w:cs="한컴바탕" w:hint="eastAsia"/>
                      <w:color w:val="000000"/>
                      <w:kern w:val="0"/>
                      <w:szCs w:val="21"/>
                      <w:lang w:eastAsia="ko-KR"/>
                    </w:rPr>
                    <w:t>냉동고</w:t>
                  </w:r>
                  <w:proofErr w:type="spellEnd"/>
                  <w:r w:rsidRPr="00652482">
                    <w:rPr>
                      <w:rFonts w:ascii="한컴바탕" w:eastAsia="한컴바탕" w:hAnsi="한컴바탕" w:cs="한컴바탕" w:hint="eastAsia"/>
                      <w:color w:val="000000"/>
                      <w:kern w:val="0"/>
                      <w:szCs w:val="21"/>
                      <w:lang w:eastAsia="ko-KR"/>
                    </w:rPr>
                    <w:t>(소형은 ‘용적≤500리터’</w:t>
                  </w:r>
                  <w:proofErr w:type="spellStart"/>
                  <w:r w:rsidRPr="00652482">
                    <w:rPr>
                      <w:rFonts w:ascii="한컴바탕" w:eastAsia="한컴바탕" w:hAnsi="한컴바탕" w:cs="한컴바탕" w:hint="eastAsia"/>
                      <w:color w:val="000000"/>
                      <w:kern w:val="0"/>
                      <w:szCs w:val="21"/>
                      <w:lang w:eastAsia="ko-KR"/>
                    </w:rPr>
                    <w:t>를</w:t>
                  </w:r>
                  <w:proofErr w:type="spellEnd"/>
                  <w:r w:rsidRPr="00652482">
                    <w:rPr>
                      <w:rFonts w:ascii="한컴바탕" w:eastAsia="한컴바탕" w:hAnsi="한컴바탕" w:cs="한컴바탕" w:hint="eastAsia"/>
                      <w:color w:val="000000"/>
                      <w:kern w:val="0"/>
                      <w:szCs w:val="21"/>
                      <w:lang w:eastAsia="ko-KR"/>
                    </w:rPr>
                    <w:t xml:space="preserve"> 가리킴)</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84183029</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748"/>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냉각온도&gt;-40℃ 소형 입식 </w:t>
                  </w:r>
                  <w:proofErr w:type="spellStart"/>
                  <w:r w:rsidRPr="00652482">
                    <w:rPr>
                      <w:rFonts w:ascii="한컴바탕" w:eastAsia="한컴바탕" w:hAnsi="한컴바탕" w:cs="한컴바탕" w:hint="eastAsia"/>
                      <w:color w:val="000000"/>
                      <w:kern w:val="0"/>
                      <w:szCs w:val="21"/>
                      <w:lang w:eastAsia="ko-KR"/>
                    </w:rPr>
                    <w:t>냉동고</w:t>
                  </w:r>
                  <w:proofErr w:type="spellEnd"/>
                  <w:r w:rsidRPr="00652482">
                    <w:rPr>
                      <w:rFonts w:ascii="한컴바탕" w:eastAsia="한컴바탕" w:hAnsi="한컴바탕" w:cs="한컴바탕" w:hint="eastAsia"/>
                      <w:color w:val="000000"/>
                      <w:kern w:val="0"/>
                      <w:szCs w:val="21"/>
                      <w:lang w:eastAsia="ko-KR"/>
                    </w:rPr>
                    <w:t>(소형은 ‘용적≤500리터’</w:t>
                  </w:r>
                  <w:proofErr w:type="spellStart"/>
                  <w:r w:rsidRPr="00652482">
                    <w:rPr>
                      <w:rFonts w:ascii="한컴바탕" w:eastAsia="한컴바탕" w:hAnsi="한컴바탕" w:cs="한컴바탕" w:hint="eastAsia"/>
                      <w:color w:val="000000"/>
                      <w:kern w:val="0"/>
                      <w:szCs w:val="21"/>
                      <w:lang w:eastAsia="ko-KR"/>
                    </w:rPr>
                    <w:t>를</w:t>
                  </w:r>
                  <w:proofErr w:type="spellEnd"/>
                  <w:r w:rsidRPr="00652482">
                    <w:rPr>
                      <w:rFonts w:ascii="한컴바탕" w:eastAsia="한컴바탕" w:hAnsi="한컴바탕" w:cs="한컴바탕" w:hint="eastAsia"/>
                      <w:color w:val="000000"/>
                      <w:kern w:val="0"/>
                      <w:szCs w:val="21"/>
                      <w:lang w:eastAsia="ko-KR"/>
                    </w:rPr>
                    <w:t xml:space="preserve"> 가리킴)</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84184029</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12</w:t>
                  </w:r>
                </w:p>
              </w:tc>
            </w:tr>
            <w:tr w:rsidR="00A04DAE" w:rsidRPr="00652482" w:rsidTr="00AD071F">
              <w:trPr>
                <w:trHeight w:val="510"/>
                <w:jc w:val="center"/>
              </w:trPr>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3</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세</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탁</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w:t>
                  </w: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빨래건조량</w:t>
                  </w:r>
                  <w:proofErr w:type="spellEnd"/>
                  <w:r w:rsidRPr="00652482">
                    <w:rPr>
                      <w:rFonts w:ascii="한컴바탕" w:eastAsia="한컴바탕" w:hAnsi="한컴바탕" w:cs="한컴바탕" w:hint="eastAsia"/>
                      <w:color w:val="000000"/>
                      <w:kern w:val="0"/>
                      <w:szCs w:val="21"/>
                      <w:lang w:eastAsia="ko-KR"/>
                    </w:rPr>
                    <w:t xml:space="preserve">≤10kg 전자동 </w:t>
                  </w:r>
                  <w:proofErr w:type="spellStart"/>
                  <w:r w:rsidRPr="00652482">
                    <w:rPr>
                      <w:rFonts w:ascii="한컴바탕" w:eastAsia="한컴바탕" w:hAnsi="한컴바탕" w:cs="한컴바탕" w:hint="eastAsia"/>
                      <w:color w:val="000000"/>
                      <w:kern w:val="0"/>
                      <w:szCs w:val="21"/>
                      <w:lang w:eastAsia="ko-KR"/>
                    </w:rPr>
                    <w:t>통돌이세탁기</w:t>
                  </w:r>
                  <w:proofErr w:type="spellEnd"/>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84501110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빨래건조량</w:t>
                  </w:r>
                  <w:proofErr w:type="spellEnd"/>
                  <w:r w:rsidRPr="00652482">
                    <w:rPr>
                      <w:rFonts w:ascii="한컴바탕" w:eastAsia="한컴바탕" w:hAnsi="한컴바탕" w:cs="한컴바탕" w:hint="eastAsia"/>
                      <w:color w:val="000000"/>
                      <w:kern w:val="0"/>
                      <w:szCs w:val="21"/>
                      <w:lang w:eastAsia="ko-KR"/>
                    </w:rPr>
                    <w:t>≤10kg 전자동 드럼세탁기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84501120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기타 </w:t>
                  </w:r>
                  <w:proofErr w:type="spellStart"/>
                  <w:r w:rsidRPr="00652482">
                    <w:rPr>
                      <w:rFonts w:ascii="한컴바탕" w:eastAsia="한컴바탕" w:hAnsi="한컴바탕" w:cs="한컴바탕" w:hint="eastAsia"/>
                      <w:color w:val="000000"/>
                      <w:kern w:val="0"/>
                      <w:szCs w:val="21"/>
                      <w:lang w:eastAsia="ko-KR"/>
                    </w:rPr>
                    <w:t>빨래건조량</w:t>
                  </w:r>
                  <w:proofErr w:type="spellEnd"/>
                  <w:r w:rsidRPr="00652482">
                    <w:rPr>
                      <w:rFonts w:ascii="한컴바탕" w:eastAsia="한컴바탕" w:hAnsi="한컴바탕" w:cs="한컴바탕" w:hint="eastAsia"/>
                      <w:color w:val="000000"/>
                      <w:kern w:val="0"/>
                      <w:szCs w:val="21"/>
                      <w:lang w:eastAsia="ko-KR"/>
                    </w:rPr>
                    <w:t xml:space="preserve">≤10kg 전자동 세탁기 </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84501190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76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원심 건조시스템 장착의 </w:t>
                  </w:r>
                  <w:proofErr w:type="spellStart"/>
                  <w:r w:rsidRPr="00652482">
                    <w:rPr>
                      <w:rFonts w:ascii="한컴바탕" w:eastAsia="한컴바탕" w:hAnsi="한컴바탕" w:cs="한컴바탕" w:hint="eastAsia"/>
                      <w:color w:val="000000"/>
                      <w:kern w:val="0"/>
                      <w:szCs w:val="21"/>
                      <w:lang w:eastAsia="ko-KR"/>
                    </w:rPr>
                    <w:t>비자동</w:t>
                  </w:r>
                  <w:proofErr w:type="spellEnd"/>
                  <w:r w:rsidRPr="00652482">
                    <w:rPr>
                      <w:rFonts w:ascii="한컴바탕" w:eastAsia="한컴바탕" w:hAnsi="한컴바탕" w:cs="한컴바탕" w:hint="eastAsia"/>
                      <w:color w:val="000000"/>
                      <w:kern w:val="0"/>
                      <w:szCs w:val="21"/>
                      <w:lang w:eastAsia="ko-KR"/>
                    </w:rPr>
                    <w:t xml:space="preserve"> 세탁기</w:t>
                  </w: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w:t>
                  </w:r>
                  <w:proofErr w:type="spellStart"/>
                  <w:r w:rsidRPr="00652482">
                    <w:rPr>
                      <w:rFonts w:ascii="한컴바탕" w:eastAsia="한컴바탕" w:hAnsi="한컴바탕" w:cs="한컴바탕" w:hint="eastAsia"/>
                      <w:color w:val="000000"/>
                      <w:kern w:val="0"/>
                      <w:szCs w:val="21"/>
                      <w:lang w:eastAsia="ko-KR"/>
                    </w:rPr>
                    <w:t>빨래건조량</w:t>
                  </w:r>
                  <w:proofErr w:type="spellEnd"/>
                  <w:r w:rsidRPr="00652482">
                    <w:rPr>
                      <w:rFonts w:ascii="한컴바탕" w:eastAsia="한컴바탕" w:hAnsi="한컴바탕" w:cs="한컴바탕" w:hint="eastAsia"/>
                      <w:color w:val="000000"/>
                      <w:kern w:val="0"/>
                      <w:szCs w:val="21"/>
                      <w:lang w:eastAsia="ko-KR"/>
                    </w:rPr>
                    <w:t>≤10kg）</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84501200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493"/>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빨래건조량</w:t>
                  </w:r>
                  <w:proofErr w:type="spellEnd"/>
                  <w:r w:rsidRPr="00652482">
                    <w:rPr>
                      <w:rFonts w:ascii="한컴바탕" w:eastAsia="한컴바탕" w:hAnsi="한컴바탕" w:cs="한컴바탕" w:hint="eastAsia"/>
                      <w:color w:val="000000"/>
                      <w:kern w:val="0"/>
                      <w:szCs w:val="21"/>
                      <w:lang w:eastAsia="ko-KR"/>
                    </w:rPr>
                    <w:t>≤10kg인 기타 세탁기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84501900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723"/>
                <w:jc w:val="center"/>
              </w:trPr>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4</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실</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내</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에</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어</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proofErr w:type="spellStart"/>
                  <w:r w:rsidRPr="00652482">
                    <w:rPr>
                      <w:rFonts w:ascii="한컴바탕" w:eastAsia="한컴바탕" w:hAnsi="한컴바탕" w:cs="한컴바탕" w:hint="eastAsia"/>
                      <w:color w:val="000000"/>
                      <w:kern w:val="0"/>
                      <w:szCs w:val="21"/>
                      <w:lang w:eastAsia="ko-KR"/>
                    </w:rPr>
                    <w:t>컨</w:t>
                  </w:r>
                  <w:proofErr w:type="spellEnd"/>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독립창문형</w:t>
                  </w:r>
                  <w:proofErr w:type="spellEnd"/>
                  <w:r w:rsidRPr="00652482">
                    <w:rPr>
                      <w:rFonts w:ascii="한컴바탕" w:eastAsia="한컴바탕" w:hAnsi="한컴바탕" w:cs="한컴바탕" w:hint="eastAsia"/>
                      <w:color w:val="000000"/>
                      <w:kern w:val="0"/>
                      <w:szCs w:val="21"/>
                      <w:lang w:eastAsia="ko-KR"/>
                    </w:rPr>
                    <w:t xml:space="preserve"> 또는 </w:t>
                  </w:r>
                  <w:proofErr w:type="spellStart"/>
                  <w:r w:rsidRPr="00652482">
                    <w:rPr>
                      <w:rFonts w:ascii="한컴바탕" w:eastAsia="한컴바탕" w:hAnsi="한컴바탕" w:cs="한컴바탕" w:hint="eastAsia"/>
                      <w:color w:val="000000"/>
                      <w:kern w:val="0"/>
                      <w:szCs w:val="21"/>
                      <w:lang w:eastAsia="ko-KR"/>
                    </w:rPr>
                    <w:t>붙박이형</w:t>
                  </w:r>
                  <w:proofErr w:type="spellEnd"/>
                  <w:r w:rsidRPr="00652482">
                    <w:rPr>
                      <w:rFonts w:ascii="한컴바탕" w:eastAsia="한컴바탕" w:hAnsi="한컴바탕" w:cs="한컴바탕" w:hint="eastAsia"/>
                      <w:color w:val="000000"/>
                      <w:kern w:val="0"/>
                      <w:szCs w:val="21"/>
                      <w:lang w:eastAsia="ko-KR"/>
                    </w:rPr>
                    <w:t xml:space="preserve"> 에어컨(선풍기 및 온도조절, 습도조절장치 내장, 단독 습도조절 불가능한 에어컨 포함)</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84151010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1046"/>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냉각량</w:t>
                  </w:r>
                  <w:proofErr w:type="spellEnd"/>
                  <w:r w:rsidRPr="00652482">
                    <w:rPr>
                      <w:rFonts w:ascii="한컴바탕" w:eastAsia="한컴바탕" w:hAnsi="한컴바탕" w:cs="한컴바탕" w:hint="eastAsia"/>
                      <w:color w:val="000000"/>
                      <w:kern w:val="0"/>
                      <w:szCs w:val="21"/>
                      <w:lang w:eastAsia="ko-KR"/>
                    </w:rPr>
                    <w:t xml:space="preserve">≤4,000Kcal/시 </w:t>
                  </w:r>
                  <w:proofErr w:type="spellStart"/>
                  <w:r w:rsidRPr="00652482">
                    <w:rPr>
                      <w:rFonts w:ascii="한컴바탕" w:eastAsia="한컴바탕" w:hAnsi="한컴바탕" w:cs="한컴바탕" w:hint="eastAsia"/>
                      <w:color w:val="000000"/>
                      <w:kern w:val="0"/>
                      <w:szCs w:val="21"/>
                      <w:lang w:eastAsia="ko-KR"/>
                    </w:rPr>
                    <w:t>분체식</w:t>
                  </w:r>
                  <w:proofErr w:type="spellEnd"/>
                  <w:r w:rsidRPr="00652482">
                    <w:rPr>
                      <w:rFonts w:ascii="한컴바탕" w:eastAsia="한컴바탕" w:hAnsi="한컴바탕" w:cs="한컴바탕" w:hint="eastAsia"/>
                      <w:color w:val="000000"/>
                      <w:kern w:val="0"/>
                      <w:szCs w:val="21"/>
                      <w:lang w:eastAsia="ko-KR"/>
                    </w:rPr>
                    <w:t xml:space="preserve"> 에어컨, </w:t>
                  </w:r>
                  <w:proofErr w:type="spellStart"/>
                  <w:r w:rsidRPr="00652482">
                    <w:rPr>
                      <w:rFonts w:ascii="한컴바탕" w:eastAsia="한컴바탕" w:hAnsi="한컴바탕" w:cs="한컴바탕" w:hint="eastAsia"/>
                      <w:color w:val="000000"/>
                      <w:kern w:val="0"/>
                      <w:szCs w:val="21"/>
                      <w:lang w:eastAsia="ko-KR"/>
                    </w:rPr>
                    <w:t>창문형</w:t>
                  </w:r>
                  <w:proofErr w:type="spellEnd"/>
                  <w:r w:rsidRPr="00652482">
                    <w:rPr>
                      <w:rFonts w:ascii="한컴바탕" w:eastAsia="한컴바탕" w:hAnsi="한컴바탕" w:cs="한컴바탕" w:hint="eastAsia"/>
                      <w:color w:val="000000"/>
                      <w:kern w:val="0"/>
                      <w:szCs w:val="21"/>
                      <w:lang w:eastAsia="ko-KR"/>
                    </w:rPr>
                    <w:t xml:space="preserve"> 또는 </w:t>
                  </w:r>
                  <w:proofErr w:type="spellStart"/>
                  <w:r w:rsidRPr="00652482">
                    <w:rPr>
                      <w:rFonts w:ascii="한컴바탕" w:eastAsia="한컴바탕" w:hAnsi="한컴바탕" w:cs="한컴바탕" w:hint="eastAsia"/>
                      <w:color w:val="000000"/>
                      <w:kern w:val="0"/>
                      <w:szCs w:val="21"/>
                      <w:lang w:eastAsia="ko-KR"/>
                    </w:rPr>
                    <w:t>붙박이형</w:t>
                  </w:r>
                  <w:proofErr w:type="spellEnd"/>
                  <w:r w:rsidRPr="00652482">
                    <w:rPr>
                      <w:rFonts w:ascii="한컴바탕" w:eastAsia="한컴바탕" w:hAnsi="한컴바탕" w:cs="한컴바탕" w:hint="eastAsia"/>
                      <w:color w:val="000000"/>
                      <w:kern w:val="0"/>
                      <w:szCs w:val="21"/>
                      <w:lang w:eastAsia="ko-KR"/>
                    </w:rPr>
                    <w:t>(선풍기 및 온도조절, 습도조절장치내장, 단독 습도조절 불가능한 에어컨 포함)</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84151021</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1093"/>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4,000Kcal/시&lt;</w:t>
                  </w:r>
                  <w:proofErr w:type="spellStart"/>
                  <w:r w:rsidRPr="00652482">
                    <w:rPr>
                      <w:rFonts w:ascii="한컴바탕" w:eastAsia="한컴바탕" w:hAnsi="한컴바탕" w:cs="한컴바탕" w:hint="eastAsia"/>
                      <w:color w:val="000000"/>
                      <w:kern w:val="0"/>
                      <w:szCs w:val="21"/>
                      <w:lang w:eastAsia="ko-KR"/>
                    </w:rPr>
                    <w:t>냉각량</w:t>
                  </w:r>
                  <w:proofErr w:type="spellEnd"/>
                  <w:r w:rsidRPr="00652482">
                    <w:rPr>
                      <w:rFonts w:ascii="한컴바탕" w:eastAsia="한컴바탕" w:hAnsi="한컴바탕" w:cs="한컴바탕" w:hint="eastAsia"/>
                      <w:color w:val="000000"/>
                      <w:kern w:val="0"/>
                      <w:szCs w:val="21"/>
                      <w:lang w:eastAsia="ko-KR"/>
                    </w:rPr>
                    <w:t>≤12,046Kcal/시(14,000W）</w:t>
                  </w:r>
                  <w:proofErr w:type="spellStart"/>
                  <w:r w:rsidRPr="00652482">
                    <w:rPr>
                      <w:rFonts w:ascii="한컴바탕" w:eastAsia="한컴바탕" w:hAnsi="한컴바탕" w:cs="한컴바탕" w:hint="eastAsia"/>
                      <w:color w:val="000000"/>
                      <w:kern w:val="0"/>
                      <w:szCs w:val="21"/>
                      <w:lang w:eastAsia="ko-KR"/>
                    </w:rPr>
                    <w:t>분체식</w:t>
                  </w:r>
                  <w:proofErr w:type="spellEnd"/>
                  <w:r w:rsidRPr="00652482">
                    <w:rPr>
                      <w:rFonts w:ascii="한컴바탕" w:eastAsia="한컴바탕" w:hAnsi="한컴바탕" w:cs="한컴바탕" w:hint="eastAsia"/>
                      <w:color w:val="000000"/>
                      <w:kern w:val="0"/>
                      <w:szCs w:val="21"/>
                      <w:lang w:eastAsia="ko-KR"/>
                    </w:rPr>
                    <w:t xml:space="preserve"> 에어컨, </w:t>
                  </w:r>
                  <w:proofErr w:type="spellStart"/>
                  <w:r w:rsidRPr="00652482">
                    <w:rPr>
                      <w:rFonts w:ascii="한컴바탕" w:eastAsia="한컴바탕" w:hAnsi="한컴바탕" w:cs="한컴바탕" w:hint="eastAsia"/>
                      <w:color w:val="000000"/>
                      <w:kern w:val="0"/>
                      <w:szCs w:val="21"/>
                      <w:lang w:eastAsia="ko-KR"/>
                    </w:rPr>
                    <w:t>창문형</w:t>
                  </w:r>
                  <w:proofErr w:type="spellEnd"/>
                  <w:r w:rsidRPr="00652482">
                    <w:rPr>
                      <w:rFonts w:ascii="한컴바탕" w:eastAsia="한컴바탕" w:hAnsi="한컴바탕" w:cs="한컴바탕" w:hint="eastAsia"/>
                      <w:color w:val="000000"/>
                      <w:kern w:val="0"/>
                      <w:szCs w:val="21"/>
                      <w:lang w:eastAsia="ko-KR"/>
                    </w:rPr>
                    <w:t xml:space="preserve"> 또는 </w:t>
                  </w:r>
                  <w:proofErr w:type="spellStart"/>
                  <w:r w:rsidRPr="00652482">
                    <w:rPr>
                      <w:rFonts w:ascii="한컴바탕" w:eastAsia="한컴바탕" w:hAnsi="한컴바탕" w:cs="한컴바탕" w:hint="eastAsia"/>
                      <w:color w:val="000000"/>
                      <w:kern w:val="0"/>
                      <w:szCs w:val="21"/>
                      <w:lang w:eastAsia="ko-KR"/>
                    </w:rPr>
                    <w:t>붙박이형</w:t>
                  </w:r>
                  <w:proofErr w:type="spellEnd"/>
                  <w:r w:rsidRPr="00652482">
                    <w:rPr>
                      <w:rFonts w:ascii="한컴바탕" w:eastAsia="한컴바탕" w:hAnsi="한컴바탕" w:cs="한컴바탕" w:hint="eastAsia"/>
                      <w:color w:val="000000"/>
                      <w:kern w:val="0"/>
                      <w:szCs w:val="21"/>
                      <w:lang w:eastAsia="ko-KR"/>
                    </w:rPr>
                    <w:t>(선풍기 및 온도조절, 습도조절장치 내장, 단독 습도조절 불가능한 에어컨 포함)</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ex84151022</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736"/>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냉각량</w:t>
                  </w:r>
                  <w:proofErr w:type="spellEnd"/>
                  <w:r w:rsidRPr="00652482">
                    <w:rPr>
                      <w:rFonts w:ascii="한컴바탕" w:eastAsia="한컴바탕" w:hAnsi="한컴바탕" w:cs="한컴바탕" w:hint="eastAsia"/>
                      <w:color w:val="000000"/>
                      <w:kern w:val="0"/>
                      <w:szCs w:val="21"/>
                      <w:lang w:eastAsia="ko-KR"/>
                    </w:rPr>
                    <w:t xml:space="preserve">≤4000Kcal/시 </w:t>
                  </w:r>
                  <w:proofErr w:type="spellStart"/>
                  <w:r w:rsidRPr="00652482">
                    <w:rPr>
                      <w:rFonts w:ascii="한컴바탕" w:eastAsia="한컴바탕" w:hAnsi="한컴바탕" w:cs="한컴바탕" w:hint="eastAsia"/>
                      <w:color w:val="000000"/>
                      <w:kern w:val="0"/>
                      <w:szCs w:val="21"/>
                      <w:lang w:eastAsia="ko-KR"/>
                    </w:rPr>
                    <w:t>열펌프식</w:t>
                  </w:r>
                  <w:proofErr w:type="spellEnd"/>
                  <w:r w:rsidRPr="00652482">
                    <w:rPr>
                      <w:rFonts w:ascii="한컴바탕" w:eastAsia="한컴바탕" w:hAnsi="한컴바탕" w:cs="한컴바탕" w:hint="eastAsia"/>
                      <w:color w:val="000000"/>
                      <w:kern w:val="0"/>
                      <w:szCs w:val="21"/>
                      <w:lang w:eastAsia="ko-KR"/>
                    </w:rPr>
                    <w:t xml:space="preserve"> 에어컨(냉각장치 및 냉온순환 </w:t>
                  </w:r>
                  <w:proofErr w:type="spellStart"/>
                  <w:r w:rsidRPr="00652482">
                    <w:rPr>
                      <w:rFonts w:ascii="한컴바탕" w:eastAsia="한컴바탕" w:hAnsi="한컴바탕" w:cs="한컴바탕" w:hint="eastAsia"/>
                      <w:color w:val="000000"/>
                      <w:kern w:val="0"/>
                      <w:szCs w:val="21"/>
                      <w:lang w:eastAsia="ko-KR"/>
                    </w:rPr>
                    <w:t>교환벨브</w:t>
                  </w:r>
                  <w:proofErr w:type="spellEnd"/>
                  <w:r w:rsidRPr="00652482">
                    <w:rPr>
                      <w:rFonts w:ascii="한컴바탕" w:eastAsia="한컴바탕" w:hAnsi="한컴바탕" w:cs="한컴바탕" w:hint="eastAsia"/>
                      <w:color w:val="000000"/>
                      <w:kern w:val="0"/>
                      <w:szCs w:val="21"/>
                      <w:lang w:eastAsia="ko-KR"/>
                    </w:rPr>
                    <w:t xml:space="preserve"> 1개 내장)</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84158110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1069"/>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4,000Kcal/시&lt;</w:t>
                  </w:r>
                  <w:proofErr w:type="spellStart"/>
                  <w:r w:rsidRPr="00652482">
                    <w:rPr>
                      <w:rFonts w:ascii="한컴바탕" w:eastAsia="한컴바탕" w:hAnsi="한컴바탕" w:cs="한컴바탕" w:hint="eastAsia"/>
                      <w:color w:val="000000"/>
                      <w:kern w:val="0"/>
                      <w:szCs w:val="21"/>
                      <w:lang w:eastAsia="ko-KR"/>
                    </w:rPr>
                    <w:t>냉각량</w:t>
                  </w:r>
                  <w:proofErr w:type="spellEnd"/>
                  <w:r w:rsidRPr="00652482">
                    <w:rPr>
                      <w:rFonts w:ascii="한컴바탕" w:eastAsia="한컴바탕" w:hAnsi="한컴바탕" w:cs="한컴바탕" w:hint="eastAsia"/>
                      <w:color w:val="000000"/>
                      <w:kern w:val="0"/>
                      <w:szCs w:val="21"/>
                      <w:lang w:eastAsia="ko-KR"/>
                    </w:rPr>
                    <w:t>≤12,046Kcal/시(14,000W)</w:t>
                  </w:r>
                  <w:proofErr w:type="spellStart"/>
                  <w:r w:rsidRPr="00652482">
                    <w:rPr>
                      <w:rFonts w:ascii="한컴바탕" w:eastAsia="한컴바탕" w:hAnsi="한컴바탕" w:cs="한컴바탕" w:hint="eastAsia"/>
                      <w:color w:val="000000"/>
                      <w:kern w:val="0"/>
                      <w:szCs w:val="21"/>
                      <w:lang w:eastAsia="ko-KR"/>
                    </w:rPr>
                    <w:t>열펌프식</w:t>
                  </w:r>
                  <w:proofErr w:type="spellEnd"/>
                  <w:r w:rsidRPr="00652482">
                    <w:rPr>
                      <w:rFonts w:ascii="한컴바탕" w:eastAsia="한컴바탕" w:hAnsi="한컴바탕" w:cs="한컴바탕" w:hint="eastAsia"/>
                      <w:color w:val="000000"/>
                      <w:kern w:val="0"/>
                      <w:szCs w:val="21"/>
                      <w:lang w:eastAsia="ko-KR"/>
                    </w:rPr>
                    <w:t xml:space="preserve"> 에어컨(냉각장치 및 냉온순환 </w:t>
                  </w:r>
                  <w:proofErr w:type="spellStart"/>
                  <w:r w:rsidRPr="00652482">
                    <w:rPr>
                      <w:rFonts w:ascii="한컴바탕" w:eastAsia="한컴바탕" w:hAnsi="한컴바탕" w:cs="한컴바탕" w:hint="eastAsia"/>
                      <w:color w:val="000000"/>
                      <w:kern w:val="0"/>
                      <w:szCs w:val="21"/>
                      <w:lang w:eastAsia="ko-KR"/>
                    </w:rPr>
                    <w:t>교환벨브</w:t>
                  </w:r>
                  <w:proofErr w:type="spellEnd"/>
                  <w:r w:rsidRPr="00652482">
                    <w:rPr>
                      <w:rFonts w:ascii="한컴바탕" w:eastAsia="한컴바탕" w:hAnsi="한컴바탕" w:cs="한컴바탕" w:hint="eastAsia"/>
                      <w:color w:val="000000"/>
                      <w:kern w:val="0"/>
                      <w:szCs w:val="21"/>
                      <w:lang w:eastAsia="ko-KR"/>
                    </w:rPr>
                    <w:t xml:space="preserve"> 1개 내장)</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ex84158120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1522"/>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냉각량</w:t>
                  </w:r>
                  <w:proofErr w:type="spellEnd"/>
                  <w:r w:rsidRPr="00652482">
                    <w:rPr>
                      <w:rFonts w:ascii="한컴바탕" w:eastAsia="한컴바탕" w:hAnsi="한컴바탕" w:cs="한컴바탕" w:hint="eastAsia"/>
                      <w:color w:val="000000"/>
                      <w:kern w:val="0"/>
                      <w:szCs w:val="21"/>
                      <w:lang w:eastAsia="ko-KR"/>
                    </w:rPr>
                    <w:t>≤4,000Kcal/시 기타 에어컨(냉각장치만 내장, 냉온순환장치 없음)</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84158210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2049"/>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4,000Kcal/시&lt;</w:t>
                  </w:r>
                  <w:proofErr w:type="spellStart"/>
                  <w:r w:rsidRPr="00652482">
                    <w:rPr>
                      <w:rFonts w:ascii="한컴바탕" w:eastAsia="한컴바탕" w:hAnsi="한컴바탕" w:cs="한컴바탕" w:hint="eastAsia"/>
                      <w:color w:val="000000"/>
                      <w:kern w:val="0"/>
                      <w:szCs w:val="21"/>
                      <w:lang w:eastAsia="ko-KR"/>
                    </w:rPr>
                    <w:t>냉각량</w:t>
                  </w:r>
                  <w:proofErr w:type="spellEnd"/>
                  <w:r w:rsidRPr="00652482">
                    <w:rPr>
                      <w:rFonts w:ascii="한컴바탕" w:eastAsia="한컴바탕" w:hAnsi="한컴바탕" w:cs="한컴바탕" w:hint="eastAsia"/>
                      <w:color w:val="000000"/>
                      <w:kern w:val="0"/>
                      <w:szCs w:val="21"/>
                      <w:lang w:eastAsia="ko-KR"/>
                    </w:rPr>
                    <w:t>≤12,046Kcal/시(14,000W）기타 에어컨(냉각장치만 장착, 냉온순환장치 없음)</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ex84158220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7</w:t>
                  </w:r>
                </w:p>
              </w:tc>
            </w:tr>
            <w:tr w:rsidR="00A04DAE" w:rsidRPr="00652482" w:rsidTr="00AD071F">
              <w:trPr>
                <w:trHeight w:val="723"/>
                <w:jc w:val="center"/>
              </w:trPr>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5</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초</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소</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형</w:t>
                  </w:r>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컴</w:t>
                  </w:r>
                  <w:proofErr w:type="spellEnd"/>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proofErr w:type="spellStart"/>
                  <w:r w:rsidRPr="00652482">
                    <w:rPr>
                      <w:rFonts w:ascii="한컴바탕" w:eastAsia="한컴바탕" w:hAnsi="한컴바탕" w:cs="한컴바탕" w:hint="eastAsia"/>
                      <w:color w:val="000000"/>
                      <w:kern w:val="0"/>
                      <w:szCs w:val="21"/>
                      <w:lang w:eastAsia="ko-KR"/>
                    </w:rPr>
                    <w:t>퓨</w:t>
                  </w:r>
                  <w:proofErr w:type="spellEnd"/>
                </w:p>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터</w:t>
                  </w: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휴대용 자동데이터처리설비(중량≤10kg, 최소 1개 중앙처리장치(CPU), 키보드 및 모니터로 구성)</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84713000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초소형기계</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84714140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시스템형식으로 검사 신청하는 초소형기계</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84714940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모니터를 포함한 초소형기계 처리부품</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ex84715040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 xml:space="preserve">84.71제품 전용 또는 주요사용 되는 제품의 음극선관 모니터 </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85284100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84.71제품 전용 또는 주요사용 되는 액정모니터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85285110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84.71제품에 전용 또는 주요사용 되는 모니터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85285190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컬러 모니터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85285910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r w:rsidR="00A04DAE" w:rsidRPr="00652482" w:rsidTr="00AD071F">
              <w:trPr>
                <w:trHeight w:val="510"/>
                <w:jc w:val="center"/>
              </w:trPr>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497" w:type="dxa"/>
                  <w:vMerge/>
                  <w:tcBorders>
                    <w:top w:val="nil"/>
                    <w:left w:val="single" w:sz="4" w:space="0" w:color="auto"/>
                    <w:bottom w:val="single" w:sz="4" w:space="0" w:color="000000"/>
                    <w:right w:val="single" w:sz="4" w:space="0" w:color="auto"/>
                  </w:tcBorders>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rPr>
                  </w:pPr>
                </w:p>
              </w:tc>
              <w:tc>
                <w:tcPr>
                  <w:tcW w:w="2208"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color w:val="000000"/>
                      <w:kern w:val="0"/>
                      <w:szCs w:val="21"/>
                      <w:lang w:eastAsia="ko-KR"/>
                    </w:rPr>
                  </w:pPr>
                  <w:r w:rsidRPr="00652482">
                    <w:rPr>
                      <w:rFonts w:ascii="한컴바탕" w:eastAsia="한컴바탕" w:hAnsi="한컴바탕" w:cs="한컴바탕" w:hint="eastAsia"/>
                      <w:color w:val="000000"/>
                      <w:kern w:val="0"/>
                      <w:szCs w:val="21"/>
                      <w:lang w:eastAsia="ko-KR"/>
                    </w:rPr>
                    <w:t>기타 흑백 모니터</w:t>
                  </w:r>
                </w:p>
              </w:tc>
              <w:tc>
                <w:tcPr>
                  <w:tcW w:w="793"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85285990</w:t>
                  </w:r>
                </w:p>
              </w:tc>
              <w:tc>
                <w:tcPr>
                  <w:tcW w:w="687" w:type="dxa"/>
                  <w:tcBorders>
                    <w:top w:val="nil"/>
                    <w:left w:val="nil"/>
                    <w:bottom w:val="single" w:sz="4" w:space="0" w:color="auto"/>
                    <w:right w:val="single" w:sz="4" w:space="0" w:color="auto"/>
                  </w:tcBorders>
                  <w:shd w:val="clear" w:color="auto" w:fill="auto"/>
                  <w:vAlign w:val="center"/>
                  <w:hideMark/>
                </w:tcPr>
                <w:p w:rsidR="00A04DAE" w:rsidRPr="00652482" w:rsidRDefault="00A04DAE" w:rsidP="00652482">
                  <w:pPr>
                    <w:wordWrap w:val="0"/>
                    <w:topLinePunct/>
                    <w:autoSpaceDN w:val="0"/>
                    <w:adjustRightInd w:val="0"/>
                    <w:snapToGrid w:val="0"/>
                    <w:spacing w:line="290" w:lineRule="atLeast"/>
                    <w:jc w:val="center"/>
                    <w:rPr>
                      <w:rFonts w:ascii="한컴바탕" w:eastAsia="한컴바탕" w:hAnsi="한컴바탕" w:cs="한컴바탕" w:hint="eastAsia"/>
                      <w:color w:val="000000"/>
                      <w:kern w:val="0"/>
                      <w:szCs w:val="21"/>
                    </w:rPr>
                  </w:pPr>
                  <w:r w:rsidRPr="00652482">
                    <w:rPr>
                      <w:rFonts w:ascii="한컴바탕" w:eastAsia="한컴바탕" w:hAnsi="한컴바탕" w:cs="한컴바탕" w:hint="eastAsia"/>
                      <w:color w:val="000000"/>
                      <w:kern w:val="0"/>
                      <w:szCs w:val="21"/>
                    </w:rPr>
                    <w:t>10</w:t>
                  </w:r>
                </w:p>
              </w:tc>
            </w:tr>
          </w:tbl>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wordWrap w:val="0"/>
              <w:topLinePunct/>
              <w:autoSpaceDN w:val="0"/>
              <w:snapToGrid w:val="0"/>
              <w:spacing w:line="290" w:lineRule="atLeast"/>
              <w:rPr>
                <w:rFonts w:ascii="한컴바탕" w:eastAsia="한컴바탕" w:hAnsi="한컴바탕" w:cs="한컴바탕" w:hint="eastAsia"/>
                <w:szCs w:val="21"/>
                <w:lang w:eastAsia="ko-KR"/>
              </w:rPr>
            </w:pPr>
          </w:p>
          <w:p w:rsidR="00A04DAE" w:rsidRPr="00652482" w:rsidRDefault="00A04DAE" w:rsidP="00652482">
            <w:pPr>
              <w:tabs>
                <w:tab w:val="left" w:pos="2070"/>
              </w:tabs>
              <w:wordWrap w:val="0"/>
              <w:topLinePunct/>
              <w:autoSpaceDN w:val="0"/>
              <w:snapToGrid w:val="0"/>
              <w:spacing w:line="290" w:lineRule="atLeast"/>
              <w:rPr>
                <w:rFonts w:ascii="한컴바탕" w:eastAsia="한컴바탕" w:hAnsi="한컴바탕" w:cs="한컴바탕" w:hint="eastAsia"/>
                <w:szCs w:val="21"/>
                <w:lang w:eastAsia="ko-KR"/>
              </w:rPr>
            </w:pPr>
            <w:r w:rsidRPr="00652482">
              <w:rPr>
                <w:rFonts w:ascii="한컴바탕" w:eastAsia="한컴바탕" w:hAnsi="한컴바탕" w:cs="한컴바탕" w:hint="eastAsia"/>
                <w:szCs w:val="21"/>
                <w:lang w:eastAsia="ko-KR"/>
              </w:rPr>
              <w:tab/>
            </w:r>
          </w:p>
          <w:p w:rsidR="00A04DAE" w:rsidRPr="00652482" w:rsidRDefault="00A04DAE" w:rsidP="00652482">
            <w:pPr>
              <w:wordWrap w:val="0"/>
              <w:topLinePunct/>
              <w:autoSpaceDN w:val="0"/>
              <w:snapToGrid w:val="0"/>
              <w:spacing w:line="290" w:lineRule="atLeast"/>
              <w:rPr>
                <w:rFonts w:ascii="한컴바탕" w:eastAsia="한컴바탕" w:hAnsi="한컴바탕" w:cs="한컴바탕" w:hint="eastAsia"/>
                <w:szCs w:val="21"/>
              </w:rPr>
            </w:pPr>
          </w:p>
          <w:p w:rsidR="00A04DAE" w:rsidRPr="00652482" w:rsidRDefault="00A04DAE" w:rsidP="00652482">
            <w:pPr>
              <w:wordWrap w:val="0"/>
              <w:autoSpaceDN w:val="0"/>
              <w:snapToGrid w:val="0"/>
              <w:spacing w:line="290" w:lineRule="atLeast"/>
              <w:rPr>
                <w:rFonts w:ascii="한컴바탕" w:eastAsia="한컴바탕" w:hAnsi="한컴바탕" w:cs="한컴바탕" w:hint="eastAsia"/>
                <w:szCs w:val="21"/>
              </w:rPr>
            </w:pPr>
          </w:p>
        </w:tc>
        <w:tc>
          <w:tcPr>
            <w:tcW w:w="539" w:type="dxa"/>
          </w:tcPr>
          <w:p w:rsidR="00A04DAE" w:rsidRPr="00A830C9" w:rsidRDefault="00A04DAE" w:rsidP="00A830C9">
            <w:pPr>
              <w:snapToGrid w:val="0"/>
              <w:spacing w:line="290" w:lineRule="atLeast"/>
              <w:rPr>
                <w:szCs w:val="21"/>
              </w:rPr>
            </w:pPr>
          </w:p>
        </w:tc>
        <w:tc>
          <w:tcPr>
            <w:tcW w:w="3958" w:type="dxa"/>
          </w:tcPr>
          <w:p w:rsidR="00652482" w:rsidRDefault="0014553F" w:rsidP="00A830C9">
            <w:pPr>
              <w:snapToGrid w:val="0"/>
              <w:spacing w:line="290" w:lineRule="atLeast"/>
              <w:jc w:val="center"/>
              <w:rPr>
                <w:rFonts w:ascii="SimSun" w:eastAsiaTheme="minorEastAsia" w:hAnsi="SimSun" w:hint="eastAsia"/>
                <w:b/>
                <w:sz w:val="26"/>
                <w:szCs w:val="26"/>
              </w:rPr>
            </w:pPr>
            <w:r w:rsidRPr="00652482">
              <w:rPr>
                <w:rFonts w:ascii="SimSun" w:hAnsi="SimSun" w:hint="eastAsia"/>
                <w:b/>
                <w:sz w:val="26"/>
                <w:szCs w:val="26"/>
              </w:rPr>
              <w:t>关于印发《废弃电器电子产品</w:t>
            </w:r>
          </w:p>
          <w:p w:rsidR="0014553F" w:rsidRPr="00652482" w:rsidRDefault="0014553F" w:rsidP="00652482">
            <w:pPr>
              <w:snapToGrid w:val="0"/>
              <w:spacing w:line="290" w:lineRule="atLeast"/>
              <w:jc w:val="center"/>
              <w:rPr>
                <w:rFonts w:ascii="SimSun" w:hAnsi="SimSun"/>
                <w:b/>
                <w:sz w:val="26"/>
                <w:szCs w:val="26"/>
              </w:rPr>
            </w:pPr>
            <w:r w:rsidRPr="00652482">
              <w:rPr>
                <w:rFonts w:ascii="SimSun" w:hAnsi="SimSun" w:hint="eastAsia"/>
                <w:b/>
                <w:sz w:val="26"/>
                <w:szCs w:val="26"/>
              </w:rPr>
              <w:t>处理基金征收使用管理办法》的通知</w:t>
            </w:r>
          </w:p>
          <w:p w:rsidR="0014553F" w:rsidRPr="00652482" w:rsidRDefault="0014553F" w:rsidP="00A830C9">
            <w:pPr>
              <w:snapToGrid w:val="0"/>
              <w:spacing w:line="290" w:lineRule="atLeast"/>
              <w:jc w:val="center"/>
              <w:rPr>
                <w:rFonts w:ascii="SimSun" w:hAnsi="SimSun"/>
                <w:szCs w:val="21"/>
              </w:rPr>
            </w:pPr>
            <w:r w:rsidRPr="00652482">
              <w:rPr>
                <w:rFonts w:ascii="SimSun" w:hAnsi="SimSun" w:hint="eastAsia"/>
                <w:szCs w:val="21"/>
              </w:rPr>
              <w:t>财综[2012]34号</w:t>
            </w:r>
          </w:p>
          <w:p w:rsidR="0014553F" w:rsidRDefault="0014553F" w:rsidP="00A830C9">
            <w:pPr>
              <w:snapToGrid w:val="0"/>
              <w:spacing w:line="290" w:lineRule="atLeast"/>
              <w:rPr>
                <w:rFonts w:ascii="SimSun" w:eastAsiaTheme="minorEastAsia" w:hAnsi="SimSun" w:hint="eastAsia"/>
                <w:szCs w:val="21"/>
              </w:rPr>
            </w:pPr>
          </w:p>
          <w:p w:rsidR="00652482" w:rsidRPr="00652482" w:rsidRDefault="00652482" w:rsidP="00A830C9">
            <w:pPr>
              <w:snapToGrid w:val="0"/>
              <w:spacing w:line="290" w:lineRule="atLeast"/>
              <w:rPr>
                <w:rFonts w:ascii="SimSun" w:eastAsiaTheme="minorEastAsia" w:hAnsi="SimSun" w:hint="eastAsia"/>
                <w:szCs w:val="21"/>
              </w:rPr>
            </w:pP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各省、自治区、直辖市人民政府，国务院各部委、各直属机构：　　 </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《废弃电器电子产品处理基金征收使用管理办法》已经国务院批准，现印发给你们，请遵照执行。</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附件：废弃电器电子产品处理基金征收使用管理办法</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right"/>
              <w:rPr>
                <w:rFonts w:ascii="SimSun" w:hAnsi="SimSun"/>
                <w:szCs w:val="21"/>
              </w:rPr>
            </w:pPr>
            <w:r w:rsidRPr="00652482">
              <w:rPr>
                <w:rFonts w:ascii="SimSun" w:hAnsi="SimSun" w:hint="eastAsia"/>
                <w:szCs w:val="21"/>
              </w:rPr>
              <w:t xml:space="preserve">　　　　　　　　　　　 　财政部 </w:t>
            </w:r>
          </w:p>
          <w:p w:rsidR="0014553F" w:rsidRPr="00652482" w:rsidRDefault="0014553F" w:rsidP="00A830C9">
            <w:pPr>
              <w:snapToGrid w:val="0"/>
              <w:spacing w:line="290" w:lineRule="atLeast"/>
              <w:jc w:val="right"/>
              <w:rPr>
                <w:rFonts w:ascii="SimSun" w:hAnsi="SimSun"/>
                <w:szCs w:val="21"/>
              </w:rPr>
            </w:pPr>
            <w:r w:rsidRPr="00652482">
              <w:rPr>
                <w:rFonts w:ascii="SimSun" w:hAnsi="SimSun" w:hint="eastAsia"/>
                <w:szCs w:val="21"/>
              </w:rPr>
              <w:t xml:space="preserve">环境保护部 </w:t>
            </w:r>
          </w:p>
          <w:p w:rsidR="0014553F" w:rsidRPr="00652482" w:rsidRDefault="0014553F" w:rsidP="00A830C9">
            <w:pPr>
              <w:snapToGrid w:val="0"/>
              <w:spacing w:line="290" w:lineRule="atLeast"/>
              <w:jc w:val="right"/>
              <w:rPr>
                <w:rFonts w:ascii="SimSun" w:hAnsi="SimSun"/>
                <w:szCs w:val="21"/>
              </w:rPr>
            </w:pPr>
            <w:r w:rsidRPr="00652482">
              <w:rPr>
                <w:rFonts w:ascii="SimSun" w:hAnsi="SimSun" w:hint="eastAsia"/>
                <w:szCs w:val="21"/>
              </w:rPr>
              <w:t>国家发展改革委</w:t>
            </w:r>
          </w:p>
          <w:p w:rsidR="0014553F" w:rsidRPr="00652482" w:rsidRDefault="0014553F" w:rsidP="00A830C9">
            <w:pPr>
              <w:snapToGrid w:val="0"/>
              <w:spacing w:line="290" w:lineRule="atLeast"/>
              <w:jc w:val="right"/>
              <w:rPr>
                <w:rFonts w:ascii="SimSun" w:hAnsi="SimSun"/>
                <w:szCs w:val="21"/>
              </w:rPr>
            </w:pPr>
            <w:r w:rsidRPr="00652482">
              <w:rPr>
                <w:rFonts w:ascii="SimSun" w:hAnsi="SimSun" w:hint="eastAsia"/>
                <w:szCs w:val="21"/>
              </w:rPr>
              <w:t xml:space="preserve">工业和信息化部 </w:t>
            </w:r>
          </w:p>
          <w:p w:rsidR="0014553F" w:rsidRPr="00652482" w:rsidRDefault="0014553F" w:rsidP="00A830C9">
            <w:pPr>
              <w:snapToGrid w:val="0"/>
              <w:spacing w:line="290" w:lineRule="atLeast"/>
              <w:jc w:val="right"/>
              <w:rPr>
                <w:rFonts w:ascii="SimSun" w:hAnsi="SimSun"/>
                <w:szCs w:val="21"/>
              </w:rPr>
            </w:pPr>
            <w:r w:rsidRPr="00652482">
              <w:rPr>
                <w:rFonts w:ascii="SimSun" w:hAnsi="SimSun" w:hint="eastAsia"/>
                <w:szCs w:val="21"/>
              </w:rPr>
              <w:t xml:space="preserve">海关总署 </w:t>
            </w:r>
          </w:p>
          <w:p w:rsidR="0014553F" w:rsidRPr="00652482" w:rsidRDefault="0014553F" w:rsidP="00A830C9">
            <w:pPr>
              <w:snapToGrid w:val="0"/>
              <w:spacing w:line="290" w:lineRule="atLeast"/>
              <w:jc w:val="right"/>
              <w:rPr>
                <w:rFonts w:ascii="SimSun" w:hAnsi="SimSun"/>
                <w:szCs w:val="21"/>
              </w:rPr>
            </w:pPr>
            <w:r w:rsidRPr="00652482">
              <w:rPr>
                <w:rFonts w:ascii="SimSun" w:hAnsi="SimSun" w:hint="eastAsia"/>
                <w:szCs w:val="21"/>
              </w:rPr>
              <w:t xml:space="preserve">国家税务总局　 </w:t>
            </w:r>
          </w:p>
          <w:p w:rsidR="0014553F" w:rsidRPr="00652482" w:rsidRDefault="0014553F" w:rsidP="00A830C9">
            <w:pPr>
              <w:snapToGrid w:val="0"/>
              <w:spacing w:line="290" w:lineRule="atLeast"/>
              <w:jc w:val="right"/>
              <w:rPr>
                <w:rFonts w:ascii="SimSun" w:hAnsi="SimSun"/>
                <w:szCs w:val="21"/>
              </w:rPr>
            </w:pPr>
            <w:r w:rsidRPr="00652482">
              <w:rPr>
                <w:rFonts w:ascii="SimSun" w:hAnsi="SimSun" w:hint="eastAsia"/>
                <w:szCs w:val="21"/>
              </w:rPr>
              <w:t xml:space="preserve">　　二○一二年五月二十一日</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rPr>
                <w:rFonts w:ascii="SimSun" w:eastAsiaTheme="minorEastAsia" w:hAnsi="SimSun" w:hint="eastAsia"/>
                <w:szCs w:val="21"/>
              </w:rPr>
            </w:pPr>
            <w:r w:rsidRPr="00652482">
              <w:rPr>
                <w:rFonts w:ascii="SimSun" w:hAnsi="SimSun" w:hint="eastAsia"/>
                <w:szCs w:val="21"/>
              </w:rPr>
              <w:t xml:space="preserve">　　 </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附件：</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废弃电器电子产品处理基金征收使用</w:t>
            </w: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管理办法</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第一章 总   则</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第一条</w:t>
            </w:r>
            <w:r w:rsidRPr="00652482">
              <w:rPr>
                <w:rFonts w:ascii="SimSun" w:hAnsi="SimSun" w:hint="eastAsia"/>
                <w:szCs w:val="21"/>
              </w:rPr>
              <w:t xml:space="preserve"> 为了规范废弃电器电子产品处理基金征收使用管理，根据《废弃电器电子产品回收处理管理条例》（国务院令第551号，以下简称《条例》）的规定，制定本办法。</w:t>
            </w:r>
          </w:p>
          <w:p w:rsidR="0014553F" w:rsidRPr="00652482" w:rsidRDefault="0014553F" w:rsidP="00A830C9">
            <w:pPr>
              <w:snapToGrid w:val="0"/>
              <w:spacing w:line="290" w:lineRule="atLeast"/>
              <w:rPr>
                <w:rFonts w:ascii="SimSun" w:hAnsi="SimSun"/>
                <w:spacing w:val="-4"/>
                <w:szCs w:val="21"/>
              </w:rPr>
            </w:pPr>
            <w:r w:rsidRPr="00652482">
              <w:rPr>
                <w:rFonts w:ascii="SimSun" w:hAnsi="SimSun" w:hint="eastAsia"/>
                <w:spacing w:val="-4"/>
                <w:szCs w:val="21"/>
              </w:rPr>
              <w:t xml:space="preserve">　　</w:t>
            </w:r>
            <w:r w:rsidRPr="00652482">
              <w:rPr>
                <w:rFonts w:ascii="SimSun" w:hAnsi="SimSun" w:hint="eastAsia"/>
                <w:b/>
                <w:spacing w:val="-4"/>
                <w:szCs w:val="21"/>
              </w:rPr>
              <w:t>第二条</w:t>
            </w:r>
            <w:r w:rsidRPr="00652482">
              <w:rPr>
                <w:rFonts w:ascii="SimSun" w:hAnsi="SimSun" w:hint="eastAsia"/>
                <w:spacing w:val="-4"/>
                <w:szCs w:val="21"/>
              </w:rPr>
              <w:t xml:space="preserve"> 废弃电器电子产品处理基金（以下简称基金）是国家为促进废弃电器电子产品回收处理而设立的政府性基金。</w:t>
            </w:r>
          </w:p>
          <w:p w:rsidR="0014553F" w:rsidRPr="00606004" w:rsidRDefault="0014553F" w:rsidP="00A830C9">
            <w:pPr>
              <w:snapToGrid w:val="0"/>
              <w:spacing w:line="290" w:lineRule="atLeast"/>
              <w:rPr>
                <w:rFonts w:ascii="SimSun" w:hAnsi="SimSun"/>
                <w:spacing w:val="4"/>
                <w:szCs w:val="21"/>
              </w:rPr>
            </w:pPr>
            <w:r w:rsidRPr="00652482">
              <w:rPr>
                <w:rFonts w:ascii="SimSun" w:hAnsi="SimSun" w:hint="eastAsia"/>
                <w:szCs w:val="21"/>
              </w:rPr>
              <w:t xml:space="preserve">　　</w:t>
            </w:r>
            <w:r w:rsidRPr="00606004">
              <w:rPr>
                <w:rFonts w:ascii="SimSun" w:hAnsi="SimSun" w:hint="eastAsia"/>
                <w:b/>
                <w:spacing w:val="4"/>
                <w:szCs w:val="21"/>
              </w:rPr>
              <w:t>第三条</w:t>
            </w:r>
            <w:r w:rsidRPr="00606004">
              <w:rPr>
                <w:rFonts w:ascii="SimSun" w:hAnsi="SimSun" w:hint="eastAsia"/>
                <w:spacing w:val="4"/>
                <w:szCs w:val="21"/>
              </w:rPr>
              <w:t xml:space="preserve"> 基金全额上缴中央国库，纳入中央政府性基金预算管理，实行专款专用，年终结余结转下年度继续使用。</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第二章 征收管理</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 xml:space="preserve">　第四条</w:t>
            </w:r>
            <w:r w:rsidRPr="00652482">
              <w:rPr>
                <w:rFonts w:ascii="SimSun" w:hAnsi="SimSun" w:hint="eastAsia"/>
                <w:szCs w:val="21"/>
              </w:rPr>
              <w:t xml:space="preserve"> 电器电子产品生产者、进口</w:t>
            </w:r>
            <w:r w:rsidRPr="00652482">
              <w:rPr>
                <w:rFonts w:ascii="SimSun" w:hAnsi="SimSun" w:hint="eastAsia"/>
                <w:szCs w:val="21"/>
              </w:rPr>
              <w:lastRenderedPageBreak/>
              <w:t>电器电子产品的收货人或者其代理人应当按照本办法的规定履行基金缴纳义务。</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电器电子产品生产者包括自主品牌生产企业和代工生产企业。</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第五条</w:t>
            </w:r>
            <w:r w:rsidRPr="00652482">
              <w:rPr>
                <w:rFonts w:ascii="SimSun" w:hAnsi="SimSun" w:hint="eastAsia"/>
                <w:szCs w:val="21"/>
              </w:rPr>
              <w:t xml:space="preserve"> 基金分别按照电器电子产品生产者销售、进口电器电子产品的收货人或者其代理人进口的电器电子产品数量定额征收。</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第六条</w:t>
            </w:r>
            <w:r w:rsidRPr="00652482">
              <w:rPr>
                <w:rFonts w:ascii="SimSun" w:hAnsi="SimSun" w:hint="eastAsia"/>
                <w:szCs w:val="21"/>
              </w:rPr>
              <w:t xml:space="preserve"> 纳入基金征收范围的电器电子产品按照《废弃电器电子产品处理目录》（以下简称《目录》）执行，具体征收范围和标准见附件。</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第七条</w:t>
            </w:r>
            <w:r w:rsidRPr="00652482">
              <w:rPr>
                <w:rFonts w:ascii="SimSun" w:hAnsi="SimSun" w:hint="eastAsia"/>
                <w:szCs w:val="21"/>
              </w:rPr>
              <w:t xml:space="preserve"> 财政部会同环境保护部、国家发展改革委、工业和信息化部根据废弃电器电子产品回收处理补贴资金的实际需要，在听取有关企业和行业协会意见的基础上，适时调整基金征收标准。</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第八条</w:t>
            </w:r>
            <w:r w:rsidRPr="00652482">
              <w:rPr>
                <w:rFonts w:ascii="SimSun" w:hAnsi="SimSun" w:hint="eastAsia"/>
                <w:szCs w:val="21"/>
              </w:rPr>
              <w:t xml:space="preserve">  电器电子产品生产者应缴纳的基金，由国家税务局负责征收。进口电器电子产品的收货人或者其代理人应缴纳的基金，由海关负责征收。</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第九条</w:t>
            </w:r>
            <w:r w:rsidRPr="00652482">
              <w:rPr>
                <w:rFonts w:ascii="SimSun" w:hAnsi="SimSun" w:hint="eastAsia"/>
                <w:szCs w:val="21"/>
              </w:rPr>
              <w:t xml:space="preserve"> 电器电子产品生产者按季申报缴纳基金。</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国家税务局对电器电子产品生产者征收基金，适用税收征收管理的规定。</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第十条</w:t>
            </w:r>
            <w:r w:rsidRPr="00652482">
              <w:rPr>
                <w:rFonts w:ascii="SimSun" w:hAnsi="SimSun" w:hint="eastAsia"/>
                <w:szCs w:val="21"/>
              </w:rPr>
              <w:t xml:space="preserve"> 进口电器电子产品的收货人或者其代理人在货物申报进口时缴纳基金。海关对基金的征收缴库管理，按照关税征收缴库管理的规定执行。</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第十一条</w:t>
            </w:r>
            <w:r w:rsidRPr="00652482">
              <w:rPr>
                <w:rFonts w:ascii="SimSun" w:hAnsi="SimSun" w:hint="eastAsia"/>
                <w:szCs w:val="21"/>
              </w:rPr>
              <w:t xml:space="preserve"> 对采用有利于资源综合利用和无害化处理的设计方案以及使用环保和便于回收利用材料生产的电器电子产品，可以减征基金，具体办法由财政部会同环境保护部、国家发展改革委、工业和信息化部、税务总局、海关总署另行制定。</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 xml:space="preserve">　第十二条</w:t>
            </w:r>
            <w:r w:rsidRPr="00652482">
              <w:rPr>
                <w:rFonts w:ascii="SimSun" w:hAnsi="SimSun" w:hint="eastAsia"/>
                <w:szCs w:val="21"/>
              </w:rPr>
              <w:t xml:space="preserve"> 电器电子产品生产者生产用于出口的电器电子产品免征基金，由电器电子产品生产者依据《中华人民共和国海关出口货物报关单》列明的出口产品名称和数量，向国家税务局申请从应缴纳基金的产品销售数量中扣除。</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第十三条</w:t>
            </w:r>
            <w:r w:rsidRPr="00652482">
              <w:rPr>
                <w:rFonts w:ascii="SimSun" w:hAnsi="SimSun" w:hint="eastAsia"/>
                <w:szCs w:val="21"/>
              </w:rPr>
              <w:t xml:space="preserve"> 电器电子产品生产者进口电器电子产品已缴纳基金的，国内销售时免征基金，由电器电子产品生产者依</w:t>
            </w:r>
            <w:r w:rsidRPr="00652482">
              <w:rPr>
                <w:rFonts w:ascii="SimSun" w:hAnsi="SimSun" w:hint="eastAsia"/>
                <w:szCs w:val="21"/>
              </w:rPr>
              <w:lastRenderedPageBreak/>
              <w:t>据《中华人民共和国海关进口货物报关单》和《进口废弃电器电子产品处理基金缴款书》列明的进口产品名称和数量，向国家税务局申请从应缴纳基金的产品销售数量中扣除。</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第十四条</w:t>
            </w:r>
            <w:r w:rsidRPr="00652482">
              <w:rPr>
                <w:rFonts w:ascii="SimSun" w:hAnsi="SimSun" w:hint="eastAsia"/>
                <w:szCs w:val="21"/>
              </w:rPr>
              <w:t xml:space="preserve"> 基金收入在政府收支分类科目中列103类01款75项“废弃电器电子产品处理基金收入”（新增）下的有关目级科目。</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第十五条</w:t>
            </w:r>
            <w:r w:rsidRPr="00652482">
              <w:rPr>
                <w:rFonts w:ascii="SimSun" w:hAnsi="SimSun" w:hint="eastAsia"/>
                <w:szCs w:val="21"/>
              </w:rPr>
              <w:t xml:space="preserve"> 未经国务院批准或者授权，任何地方、部门和单位不得擅自减免基金，不得改变基金征收对象、范围和标准。</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第十六条</w:t>
            </w:r>
            <w:r w:rsidRPr="00652482">
              <w:rPr>
                <w:rFonts w:ascii="SimSun" w:hAnsi="SimSun" w:hint="eastAsia"/>
                <w:szCs w:val="21"/>
              </w:rPr>
              <w:t xml:space="preserve"> 电器电子产品生产者、进口电器电子产品的收货人或者其代理人缴纳的基金计入生产经营成本，准予在计算应纳税所得额时扣除。</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第三章 使用管理</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 xml:space="preserve">　第十七条</w:t>
            </w:r>
            <w:r w:rsidRPr="00652482">
              <w:rPr>
                <w:rFonts w:ascii="SimSun" w:hAnsi="SimSun" w:hint="eastAsia"/>
                <w:szCs w:val="21"/>
              </w:rPr>
              <w:t xml:space="preserve"> 基金使用范围包括：</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（一）废弃电器电子产品回收处理费用补贴；</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（二）废弃电器电子产品回收处理和电器电子产品生产销售信息管理系统建设，以及相关信息采集发布支出；</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（三）基金征收管理经费支出；</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（四）经财政部批准与废弃电器电子产品回收处理相关的其他支出。</w:t>
            </w:r>
          </w:p>
          <w:p w:rsidR="0014553F" w:rsidRPr="00606004" w:rsidRDefault="0014553F" w:rsidP="00A830C9">
            <w:pPr>
              <w:snapToGrid w:val="0"/>
              <w:spacing w:line="290" w:lineRule="atLeast"/>
              <w:rPr>
                <w:rFonts w:ascii="SimSun" w:hAnsi="SimSun"/>
                <w:spacing w:val="-6"/>
                <w:szCs w:val="21"/>
              </w:rPr>
            </w:pPr>
            <w:r w:rsidRPr="00652482">
              <w:rPr>
                <w:rFonts w:ascii="SimSun" w:hAnsi="SimSun" w:hint="eastAsia"/>
                <w:szCs w:val="21"/>
              </w:rPr>
              <w:t xml:space="preserve">　</w:t>
            </w:r>
            <w:r w:rsidRPr="00606004">
              <w:rPr>
                <w:rFonts w:ascii="SimSun" w:hAnsi="SimSun" w:hint="eastAsia"/>
                <w:spacing w:val="-6"/>
                <w:szCs w:val="21"/>
              </w:rPr>
              <w:t xml:space="preserve">　</w:t>
            </w:r>
            <w:r w:rsidRPr="00606004">
              <w:rPr>
                <w:rFonts w:ascii="SimSun" w:hAnsi="SimSun" w:hint="eastAsia"/>
                <w:b/>
                <w:spacing w:val="-6"/>
                <w:szCs w:val="21"/>
              </w:rPr>
              <w:t>第十八条</w:t>
            </w:r>
            <w:r w:rsidRPr="00606004">
              <w:rPr>
                <w:rFonts w:ascii="SimSun" w:hAnsi="SimSun" w:hint="eastAsia"/>
                <w:spacing w:val="-6"/>
                <w:szCs w:val="21"/>
              </w:rPr>
              <w:t xml:space="preserve">  依照《条例》和《废弃电器电子产品处理资格许可管理办法》（环境保护部令第13号）的规定取得废弃电器电子产品处理资格的企业（以下简称处理企业），对列入《目录》的废弃电器电子产品进行处理，可以申请基金补贴。</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给予基金补贴的处理企业名单，由财政部、环境保护部会同国家发展改革委、工业和信息化部向社会公布。</w:t>
            </w:r>
          </w:p>
          <w:p w:rsidR="0014553F" w:rsidRPr="00606004" w:rsidRDefault="0014553F" w:rsidP="00A830C9">
            <w:pPr>
              <w:snapToGrid w:val="0"/>
              <w:spacing w:line="290" w:lineRule="atLeast"/>
              <w:rPr>
                <w:rFonts w:ascii="SimSun" w:hAnsi="SimSun"/>
                <w:spacing w:val="6"/>
                <w:szCs w:val="21"/>
              </w:rPr>
            </w:pPr>
            <w:r w:rsidRPr="00652482">
              <w:rPr>
                <w:rFonts w:ascii="SimSun" w:hAnsi="SimSun" w:hint="eastAsia"/>
                <w:szCs w:val="21"/>
              </w:rPr>
              <w:t xml:space="preserve">　　</w:t>
            </w:r>
            <w:r w:rsidRPr="00606004">
              <w:rPr>
                <w:rFonts w:ascii="SimSun" w:hAnsi="SimSun" w:hint="eastAsia"/>
                <w:b/>
                <w:spacing w:val="6"/>
                <w:szCs w:val="21"/>
              </w:rPr>
              <w:t>第十九条</w:t>
            </w:r>
            <w:r w:rsidRPr="00606004">
              <w:rPr>
                <w:rFonts w:ascii="SimSun" w:hAnsi="SimSun" w:hint="eastAsia"/>
                <w:spacing w:val="6"/>
                <w:szCs w:val="21"/>
              </w:rPr>
              <w:t xml:space="preserve">  国家鼓励电器电子产品生产者自行回收处理列入《目录》的废弃电器电子产品。各省（区、市）环境保护主管部门在编制本地区废弃电器电子产品处理发展规划时，应当优先支持电器电子产品生产者设立处理企业。</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第二十条</w:t>
            </w:r>
            <w:r w:rsidRPr="00652482">
              <w:rPr>
                <w:rFonts w:ascii="SimSun" w:hAnsi="SimSun" w:hint="eastAsia"/>
                <w:szCs w:val="21"/>
              </w:rPr>
              <w:t xml:space="preserve"> 对处理企业按照实际完成拆解处理的废弃电器电子产品数量给予</w:t>
            </w:r>
            <w:r w:rsidRPr="00652482">
              <w:rPr>
                <w:rFonts w:ascii="SimSun" w:hAnsi="SimSun" w:hint="eastAsia"/>
                <w:szCs w:val="21"/>
              </w:rPr>
              <w:lastRenderedPageBreak/>
              <w:t>定额补贴。</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基金补贴标准为：电视机85元/台、电冰箱80元/台、洗衣机35元/台、房间空调器35元/台、微型计算机85元/台。</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上述实际完成拆解处理的废弃电器电子产品是指整机，不包括零部件或散件。</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财政部会同环境保护部、国家发展改革委、工业和信息化部根据废弃电器电子产品回收处理成本变化情况，在听取有关企业和行业协会意见的基础上，适时调整基金补贴标准。</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第二十一条</w:t>
            </w:r>
            <w:r w:rsidRPr="00652482">
              <w:rPr>
                <w:rFonts w:ascii="SimSun" w:hAnsi="SimSun" w:hint="eastAsia"/>
                <w:szCs w:val="21"/>
              </w:rPr>
              <w:t xml:space="preserve"> 处理企业拆解处理废弃电器电子产品应当符合国家有关资源综合利用、环境保护的要求和相关技术规范，并按照环境保护部制定的审核办法核定废弃电器电子产品拆解处理数量后，方可获得基金补贴。</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第二十二条</w:t>
            </w:r>
            <w:r w:rsidRPr="00652482">
              <w:rPr>
                <w:rFonts w:ascii="SimSun" w:hAnsi="SimSun" w:hint="eastAsia"/>
                <w:szCs w:val="21"/>
              </w:rPr>
              <w:t xml:space="preserve"> 处理企业按季对完成拆解处理的废弃电器电子产品种类、数量进行统计，填写《废弃电器电子产品拆解处理情况表》，并在每个季度结束次月的5日前报送各省（区、市）环境保护主管部门。</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第二十三条</w:t>
            </w:r>
            <w:r w:rsidRPr="00652482">
              <w:rPr>
                <w:rFonts w:ascii="SimSun" w:hAnsi="SimSun" w:hint="eastAsia"/>
                <w:szCs w:val="21"/>
              </w:rPr>
              <w:t xml:space="preserve"> 处理企业报送《废弃电器电子产品拆解处理情况表》时，应当同时提供以下资料：</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（一）废弃电器电子产品入库和出库记录报表；</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（二）废弃电器电子产品拆解处理作业记录报表；</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（三）废弃电器电子产品拆解产物出库和入库记录报表；</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（四）废弃电器电子产品拆解产物销售凭证或处理证明。</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相关报表和凭证按照环境保护部统一规定的格式报送。</w:t>
            </w:r>
          </w:p>
          <w:p w:rsidR="0014553F" w:rsidRPr="00606004" w:rsidRDefault="0014553F" w:rsidP="00A830C9">
            <w:pPr>
              <w:snapToGrid w:val="0"/>
              <w:spacing w:line="290" w:lineRule="atLeast"/>
              <w:rPr>
                <w:rFonts w:ascii="SimSun" w:hAnsi="SimSun"/>
                <w:spacing w:val="-2"/>
                <w:szCs w:val="21"/>
              </w:rPr>
            </w:pPr>
            <w:r w:rsidRPr="00652482">
              <w:rPr>
                <w:rFonts w:ascii="SimSun" w:hAnsi="SimSun" w:hint="eastAsia"/>
                <w:szCs w:val="21"/>
              </w:rPr>
              <w:t xml:space="preserve">　　</w:t>
            </w:r>
            <w:r w:rsidRPr="00606004">
              <w:rPr>
                <w:rFonts w:ascii="SimSun" w:hAnsi="SimSun" w:hint="eastAsia"/>
                <w:b/>
                <w:spacing w:val="-2"/>
                <w:szCs w:val="21"/>
              </w:rPr>
              <w:t>第二十四条</w:t>
            </w:r>
            <w:r w:rsidRPr="00606004">
              <w:rPr>
                <w:rFonts w:ascii="SimSun" w:hAnsi="SimSun" w:hint="eastAsia"/>
                <w:spacing w:val="-2"/>
                <w:szCs w:val="21"/>
              </w:rPr>
              <w:t xml:space="preserve"> 各省（区、市）环境保护主管部门接到处理企业报送的《废弃电器电子产品拆解处理情况表》及相关资料后组织开展审核工作，并在每个季度结束次月的月底前将审核意见连同处理企业填写的《废弃电器电子产品拆解处理情况表》，以书面形式上报环境保护部。</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环境保护部负责对各省（区、市）</w:t>
            </w:r>
            <w:r w:rsidRPr="00652482">
              <w:rPr>
                <w:rFonts w:ascii="SimSun" w:hAnsi="SimSun" w:hint="eastAsia"/>
                <w:szCs w:val="21"/>
              </w:rPr>
              <w:lastRenderedPageBreak/>
              <w:t>环境保护主管部门上报情况进行核实，确认每个处理企业完成拆解处理的废弃电器电子产品种类、数量，并汇总提交财政部。</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财政部按照环境保护部提交的废弃电器电子产品拆解处理种类、数量和基金补贴标准，核定对每个处理企业补贴金额并支付资金。资金支付按照国库集中支付制度有关规定执行。</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第二十五条</w:t>
            </w:r>
            <w:r w:rsidRPr="00652482">
              <w:rPr>
                <w:rFonts w:ascii="SimSun" w:hAnsi="SimSun" w:hint="eastAsia"/>
                <w:szCs w:val="21"/>
              </w:rPr>
              <w:t xml:space="preserve"> 环境保护部、税务总局、海关总署等有关部门应当按照中央政府性基金预算编制的要求，编制年度基金支出预算，报财政部审核。</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财政部应当按照预算管理规定审核基金支出预算并批复下达相关部门。</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 xml:space="preserve">第二十六条 </w:t>
            </w:r>
            <w:r w:rsidRPr="00652482">
              <w:rPr>
                <w:rFonts w:ascii="SimSun" w:hAnsi="SimSun" w:hint="eastAsia"/>
                <w:szCs w:val="21"/>
              </w:rPr>
              <w:t>基金支出在政府收支分类科目中列211类61款“废弃电器电子产品处理基金支出”（新增）。</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第四章 监督管理</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第二十七条</w:t>
            </w:r>
            <w:r w:rsidRPr="00652482">
              <w:rPr>
                <w:rFonts w:ascii="SimSun" w:hAnsi="SimSun" w:hint="eastAsia"/>
                <w:szCs w:val="21"/>
              </w:rPr>
              <w:t xml:space="preserve"> 电器电子产品生产者、进口电器电子产品的收货人或者其代理人应当分别向国家税务局、海关报送电器电子产品销售和进口的基本数据及情况，并按照规定申报缴纳基金，自觉接受国家税务局、海关的监督检查。</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第二十八条</w:t>
            </w:r>
            <w:r w:rsidRPr="00652482">
              <w:rPr>
                <w:rFonts w:ascii="SimSun" w:hAnsi="SimSun" w:hint="eastAsia"/>
                <w:szCs w:val="21"/>
              </w:rPr>
              <w:t xml:space="preserve"> 处理企业应当按照规定建立废弃电器电子产品的数据信息管理系统，跟踪记录废弃电器电子产品接收、贮存和处理，拆解产物出入库和销售，最终废弃物出入库和处理等信息，全面反映废弃电器电子产品在处理企业内部运转流程，并如实向环境保护等主管部门报送废弃电器电子产品回收和拆解处理的基本数据及情况。</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第二十九条</w:t>
            </w:r>
            <w:r w:rsidRPr="00652482">
              <w:rPr>
                <w:rFonts w:ascii="SimSun" w:hAnsi="SimSun" w:hint="eastAsia"/>
                <w:szCs w:val="21"/>
              </w:rPr>
              <w:t xml:space="preserve"> 处理企业申请基金补贴相关资料及记录废弃电器电子产品回收和拆解处理情况的原始凭证应当妥善保存备查，保存期限不得少于5年。</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第三十条</w:t>
            </w:r>
            <w:r w:rsidRPr="00652482">
              <w:rPr>
                <w:rFonts w:ascii="SimSun" w:hAnsi="SimSun" w:hint="eastAsia"/>
                <w:szCs w:val="21"/>
              </w:rPr>
              <w:t xml:space="preserve"> 环境保护部和各省（区、市）环境保护主管部门应当建立健全基金补贴审核制度，通过数据系统比对、书面核查、实地检查等方式，加强废弃电器电子产品拆解处理的环保核查和数量审核，防止弄虚作假、虚报冒领补贴资金等行为的发生。</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lastRenderedPageBreak/>
              <w:t xml:space="preserve">　　</w:t>
            </w:r>
            <w:r w:rsidRPr="00652482">
              <w:rPr>
                <w:rFonts w:ascii="SimSun" w:hAnsi="SimSun" w:hint="eastAsia"/>
                <w:b/>
                <w:szCs w:val="21"/>
              </w:rPr>
              <w:t>第三十一条</w:t>
            </w:r>
            <w:r w:rsidRPr="00652482">
              <w:rPr>
                <w:rFonts w:ascii="SimSun" w:hAnsi="SimSun" w:hint="eastAsia"/>
                <w:szCs w:val="21"/>
              </w:rPr>
              <w:t xml:space="preserve"> 财政部会同环境保护部、国家发展改革委、工业和信息化部建立实时监控废弃电器电子产品回收处理和生产销售的信息管理系统（以下简称监控系统）。</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处理企业和电器电子产品生产者应当配合有关部门建立监控系统。处理企业建立的废弃电器电子产品数据信息管理系统应当与监控系统对接。电器电子产品生产者应当按照建立监控系统的要求，登记企业信息并报送电器电子产品生产销售情况。</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第三十二条</w:t>
            </w:r>
            <w:r w:rsidRPr="00652482">
              <w:rPr>
                <w:rFonts w:ascii="SimSun" w:hAnsi="SimSun" w:hint="eastAsia"/>
                <w:szCs w:val="21"/>
              </w:rPr>
              <w:t xml:space="preserve"> 财政部、审计署、环境保护部、国家发展改革委、工业和信息化部、税务总局、海关总署应当按照职责加强对基金缴纳、使用情况的监督检查，依法对基金违法违规行为进行处理、处罚。</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第三十三条</w:t>
            </w:r>
            <w:r w:rsidRPr="00652482">
              <w:rPr>
                <w:rFonts w:ascii="SimSun" w:hAnsi="SimSun" w:hint="eastAsia"/>
                <w:szCs w:val="21"/>
              </w:rPr>
              <w:t xml:space="preserve"> 有关行业协会应当协助环境保护主管部门和财政部门做好废弃电器电子产品拆解处理种类、数量的审核工作。</w:t>
            </w:r>
          </w:p>
          <w:p w:rsidR="00606004" w:rsidRPr="00606004" w:rsidRDefault="0014553F" w:rsidP="00A830C9">
            <w:pPr>
              <w:snapToGrid w:val="0"/>
              <w:spacing w:line="290" w:lineRule="atLeast"/>
              <w:rPr>
                <w:rFonts w:ascii="SimSun" w:eastAsiaTheme="minorEastAsia" w:hAnsi="SimSun"/>
                <w:szCs w:val="21"/>
              </w:rPr>
            </w:pPr>
            <w:r w:rsidRPr="00652482">
              <w:rPr>
                <w:rFonts w:ascii="SimSun" w:hAnsi="SimSun" w:hint="eastAsia"/>
                <w:szCs w:val="21"/>
              </w:rPr>
              <w:t xml:space="preserve">　　</w:t>
            </w:r>
            <w:r w:rsidRPr="00652482">
              <w:rPr>
                <w:rFonts w:ascii="SimSun" w:hAnsi="SimSun" w:hint="eastAsia"/>
                <w:b/>
                <w:szCs w:val="21"/>
              </w:rPr>
              <w:t>第三十四条</w:t>
            </w:r>
            <w:r w:rsidRPr="00652482">
              <w:rPr>
                <w:rFonts w:ascii="SimSun" w:hAnsi="SimSun" w:hint="eastAsia"/>
                <w:szCs w:val="21"/>
              </w:rPr>
              <w:t xml:space="preserve"> 环境保护部和各省（区、市）环境保护主管部门应当分别公开全国和本地区处理企业拆解处理废弃电器电子产品及接受基金补贴情况，接受公众监督。</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任何单位和个人有权监督和举报基金缴纳和使用中的违法违规问题。有关部门应当按照职责分工对单位和个人举报投拆的问题进行调查和处理。</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第五章 法律责任</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第三十五条</w:t>
            </w:r>
            <w:r w:rsidRPr="00652482">
              <w:rPr>
                <w:rFonts w:ascii="SimSun" w:hAnsi="SimSun" w:hint="eastAsia"/>
                <w:szCs w:val="21"/>
              </w:rPr>
              <w:t xml:space="preserve"> 单位和个人有下列情形之一的，依照《财政违法行为处罚处分条例》（国务院令第427号）和《违反行政事业性收费和罚没收入收支两条线管理规定行政处分暂行规定》（国务院令第281号）等法律法规进行处理、处罚、处分；构成犯罪的，依法追究刑事责任：</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（一）未经国务院批准或者授权，擅自减免基金或者改变基金征收范围、对象和标准的；</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（二）以虚报、冒领等手段骗取基金补贴的；</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lastRenderedPageBreak/>
              <w:t xml:space="preserve">　　（三）滞留、截留、挪用基金的；</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（四）其他违反政府性基金管理规定的行为。</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处理企业有第一款第（二）项行为的，取消给予基金补贴的资格，并向社会公示。</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第三十六条</w:t>
            </w:r>
            <w:r w:rsidRPr="00652482">
              <w:rPr>
                <w:rFonts w:ascii="SimSun" w:hAnsi="SimSun" w:hint="eastAsia"/>
                <w:szCs w:val="21"/>
              </w:rPr>
              <w:t xml:space="preserve"> 电器电子产品生产者违反基金征收管理规定的，由国家税务局比照税收违法行为予以行政处罚。进口电器电子产品的收货人或者其代理人违反基金征收管理规定的，由海关比照关税违法行为予以行政处罚。</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第三十七条</w:t>
            </w:r>
            <w:r w:rsidRPr="00652482">
              <w:rPr>
                <w:rFonts w:ascii="SimSun" w:hAnsi="SimSun" w:hint="eastAsia"/>
                <w:szCs w:val="21"/>
              </w:rPr>
              <w:t xml:space="preserve"> 基金征收、使用管理有关部门的工作人员违反本办法规定，在基金征收和使用管理工作中滥用职权、玩忽职守、徇私舞弊，构成犯罪的，依法追究刑事责任；尚不构成犯罪的，依法给予处分。</w:t>
            </w: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jc w:val="center"/>
              <w:rPr>
                <w:rFonts w:ascii="SimSun" w:hAnsi="SimSun"/>
                <w:b/>
                <w:szCs w:val="21"/>
              </w:rPr>
            </w:pPr>
            <w:r w:rsidRPr="00652482">
              <w:rPr>
                <w:rFonts w:ascii="SimSun" w:hAnsi="SimSun" w:hint="eastAsia"/>
                <w:b/>
                <w:szCs w:val="21"/>
              </w:rPr>
              <w:t>第六章 附  则</w:t>
            </w: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r w:rsidRPr="00652482">
              <w:rPr>
                <w:rFonts w:ascii="SimSun" w:hAnsi="SimSun" w:hint="eastAsia"/>
                <w:b/>
                <w:szCs w:val="21"/>
              </w:rPr>
              <w:t>第三十八条</w:t>
            </w:r>
            <w:r w:rsidRPr="00652482">
              <w:rPr>
                <w:rFonts w:ascii="SimSun" w:hAnsi="SimSun" w:hint="eastAsia"/>
                <w:szCs w:val="21"/>
              </w:rPr>
              <w:t xml:space="preserve"> 本办法由财政部、环境保护部、国家发展改革委、工业和信息化部、税务总局、海关总署负责解释。</w:t>
            </w:r>
          </w:p>
          <w:p w:rsidR="0014553F" w:rsidRPr="00652482" w:rsidRDefault="0014553F" w:rsidP="00A830C9">
            <w:pPr>
              <w:snapToGrid w:val="0"/>
              <w:spacing w:line="290" w:lineRule="atLeast"/>
              <w:ind w:firstLine="405"/>
              <w:rPr>
                <w:rFonts w:ascii="SimSun" w:hAnsi="SimSun"/>
                <w:szCs w:val="21"/>
              </w:rPr>
            </w:pPr>
            <w:r w:rsidRPr="00652482">
              <w:rPr>
                <w:rFonts w:ascii="SimSun" w:hAnsi="SimSun" w:hint="eastAsia"/>
                <w:b/>
                <w:szCs w:val="21"/>
              </w:rPr>
              <w:t xml:space="preserve">第三十九条 </w:t>
            </w:r>
            <w:r w:rsidRPr="00652482">
              <w:rPr>
                <w:rFonts w:ascii="SimSun" w:hAnsi="SimSun" w:hint="eastAsia"/>
                <w:szCs w:val="21"/>
              </w:rPr>
              <w:t>本办法自2012年7月1日起执行。</w:t>
            </w:r>
          </w:p>
          <w:p w:rsidR="0014553F" w:rsidRPr="00652482" w:rsidRDefault="0014553F" w:rsidP="00A830C9">
            <w:pPr>
              <w:snapToGrid w:val="0"/>
              <w:spacing w:line="290" w:lineRule="atLeast"/>
              <w:ind w:firstLine="405"/>
              <w:rPr>
                <w:rFonts w:ascii="SimSun" w:hAnsi="SimSun"/>
                <w:szCs w:val="21"/>
              </w:rPr>
            </w:pPr>
          </w:p>
          <w:p w:rsidR="00606004" w:rsidRDefault="0014553F" w:rsidP="00606004">
            <w:pPr>
              <w:snapToGrid w:val="0"/>
              <w:spacing w:line="290" w:lineRule="atLeast"/>
              <w:ind w:firstLine="405"/>
              <w:rPr>
                <w:rFonts w:ascii="SimSun" w:eastAsiaTheme="minorEastAsia" w:hAnsi="SimSun" w:hint="eastAsia"/>
                <w:szCs w:val="21"/>
              </w:rPr>
            </w:pPr>
            <w:r w:rsidRPr="00652482">
              <w:rPr>
                <w:rFonts w:ascii="SimSun" w:hAnsi="SimSun" w:hint="eastAsia"/>
                <w:szCs w:val="21"/>
              </w:rPr>
              <w:t>附：</w:t>
            </w:r>
          </w:p>
          <w:p w:rsidR="0014553F" w:rsidRPr="00652482" w:rsidRDefault="0014553F" w:rsidP="00606004">
            <w:pPr>
              <w:snapToGrid w:val="0"/>
              <w:spacing w:line="290" w:lineRule="atLeast"/>
              <w:ind w:firstLine="405"/>
              <w:rPr>
                <w:rFonts w:ascii="SimSun" w:hAnsi="SimSun"/>
                <w:szCs w:val="21"/>
              </w:rPr>
            </w:pPr>
            <w:r w:rsidRPr="00652482">
              <w:rPr>
                <w:rFonts w:ascii="SimSun" w:hAnsi="SimSun" w:hint="eastAsia"/>
                <w:szCs w:val="21"/>
              </w:rPr>
              <w:t>1.对电器电子产品生产者征收基金的产品范围和征收标准</w:t>
            </w:r>
          </w:p>
          <w:p w:rsidR="0014553F" w:rsidRPr="00652482" w:rsidRDefault="0014553F" w:rsidP="00A830C9">
            <w:pPr>
              <w:snapToGrid w:val="0"/>
              <w:spacing w:line="290" w:lineRule="atLeast"/>
              <w:ind w:firstLine="420"/>
              <w:rPr>
                <w:rFonts w:ascii="SimSun" w:hAnsi="SimSun"/>
                <w:szCs w:val="21"/>
              </w:rPr>
            </w:pPr>
            <w:r w:rsidRPr="00652482">
              <w:rPr>
                <w:rFonts w:ascii="SimSun" w:hAnsi="SimSun" w:hint="eastAsia"/>
                <w:szCs w:val="21"/>
              </w:rPr>
              <w:t>2.对进口电器电子产品征收基金适用的商品名称、海关税则号列和征收标准（2012年版）</w:t>
            </w:r>
          </w:p>
          <w:p w:rsidR="0014553F" w:rsidRPr="00652482" w:rsidRDefault="0014553F" w:rsidP="00A830C9">
            <w:pPr>
              <w:snapToGrid w:val="0"/>
              <w:spacing w:line="290" w:lineRule="atLeast"/>
              <w:ind w:firstLine="420"/>
              <w:rPr>
                <w:rFonts w:ascii="SimSun" w:hAnsi="SimSun"/>
                <w:szCs w:val="21"/>
              </w:rPr>
            </w:pPr>
          </w:p>
          <w:tbl>
            <w:tblPr>
              <w:tblW w:w="3956" w:type="dxa"/>
              <w:jc w:val="center"/>
              <w:tblInd w:w="93" w:type="dxa"/>
              <w:tblLayout w:type="fixed"/>
              <w:tblLook w:val="04A0"/>
            </w:tblPr>
            <w:tblGrid>
              <w:gridCol w:w="274"/>
              <w:gridCol w:w="510"/>
              <w:gridCol w:w="2525"/>
              <w:gridCol w:w="647"/>
            </w:tblGrid>
            <w:tr w:rsidR="0014553F" w:rsidRPr="00652482" w:rsidTr="001E23D0">
              <w:trPr>
                <w:trHeight w:val="749"/>
                <w:jc w:val="center"/>
              </w:trPr>
              <w:tc>
                <w:tcPr>
                  <w:tcW w:w="3956" w:type="dxa"/>
                  <w:gridSpan w:val="4"/>
                  <w:tcBorders>
                    <w:top w:val="nil"/>
                    <w:left w:val="nil"/>
                    <w:bottom w:val="nil"/>
                    <w:right w:val="nil"/>
                  </w:tcBorders>
                  <w:shd w:val="clear" w:color="auto" w:fill="auto"/>
                  <w:noWrap/>
                  <w:vAlign w:val="center"/>
                  <w:hideMark/>
                </w:tcPr>
                <w:p w:rsidR="0014553F" w:rsidRPr="00652482" w:rsidRDefault="0014553F" w:rsidP="00A830C9">
                  <w:pPr>
                    <w:widowControl/>
                    <w:snapToGrid w:val="0"/>
                    <w:spacing w:line="290" w:lineRule="atLeast"/>
                    <w:jc w:val="left"/>
                    <w:rPr>
                      <w:rFonts w:ascii="SimSun" w:hAnsi="SimSun" w:cs="SimSun"/>
                      <w:color w:val="000000"/>
                      <w:kern w:val="0"/>
                      <w:szCs w:val="21"/>
                    </w:rPr>
                  </w:pPr>
                  <w:r w:rsidRPr="00652482">
                    <w:rPr>
                      <w:rFonts w:ascii="SimSun" w:hAnsi="SimSun" w:cs="SimSun" w:hint="eastAsia"/>
                      <w:color w:val="000000"/>
                      <w:kern w:val="0"/>
                      <w:szCs w:val="21"/>
                    </w:rPr>
                    <w:t>附1：</w:t>
                  </w:r>
                </w:p>
              </w:tc>
            </w:tr>
            <w:tr w:rsidR="0014553F" w:rsidRPr="00652482" w:rsidTr="001E23D0">
              <w:trPr>
                <w:trHeight w:val="438"/>
                <w:jc w:val="center"/>
              </w:trPr>
              <w:tc>
                <w:tcPr>
                  <w:tcW w:w="3956" w:type="dxa"/>
                  <w:gridSpan w:val="4"/>
                  <w:tcBorders>
                    <w:top w:val="nil"/>
                    <w:left w:val="nil"/>
                    <w:bottom w:val="nil"/>
                    <w:right w:val="nil"/>
                  </w:tcBorders>
                  <w:shd w:val="clear" w:color="auto" w:fill="auto"/>
                  <w:noWrap/>
                  <w:vAlign w:val="center"/>
                  <w:hideMark/>
                </w:tcPr>
                <w:p w:rsidR="0014553F" w:rsidRPr="001E23D0" w:rsidRDefault="0014553F" w:rsidP="00A830C9">
                  <w:pPr>
                    <w:widowControl/>
                    <w:snapToGrid w:val="0"/>
                    <w:spacing w:line="290" w:lineRule="atLeast"/>
                    <w:jc w:val="center"/>
                    <w:rPr>
                      <w:rFonts w:ascii="SimSun" w:hAnsi="SimSun" w:cs="SimSun"/>
                      <w:b/>
                      <w:color w:val="000000"/>
                      <w:kern w:val="0"/>
                      <w:szCs w:val="21"/>
                    </w:rPr>
                  </w:pPr>
                  <w:r w:rsidRPr="001E23D0">
                    <w:rPr>
                      <w:rFonts w:ascii="SimSun" w:hAnsi="SimSun" w:cs="SimSun" w:hint="eastAsia"/>
                      <w:b/>
                      <w:color w:val="000000"/>
                      <w:kern w:val="0"/>
                      <w:szCs w:val="21"/>
                    </w:rPr>
                    <w:t>对电器电子产品生产者征收基金的产品范围和征收标准</w:t>
                  </w:r>
                </w:p>
              </w:tc>
            </w:tr>
            <w:tr w:rsidR="0014553F" w:rsidRPr="00652482" w:rsidTr="001E23D0">
              <w:trPr>
                <w:trHeight w:val="438"/>
                <w:jc w:val="center"/>
              </w:trPr>
              <w:tc>
                <w:tcPr>
                  <w:tcW w:w="274" w:type="dxa"/>
                  <w:tcBorders>
                    <w:top w:val="nil"/>
                    <w:left w:val="nil"/>
                    <w:bottom w:val="nil"/>
                    <w:right w:val="nil"/>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SimSun"/>
                      <w:color w:val="000000"/>
                      <w:kern w:val="0"/>
                      <w:szCs w:val="21"/>
                    </w:rPr>
                  </w:pPr>
                </w:p>
              </w:tc>
              <w:tc>
                <w:tcPr>
                  <w:tcW w:w="510" w:type="dxa"/>
                  <w:tcBorders>
                    <w:top w:val="nil"/>
                    <w:left w:val="nil"/>
                    <w:bottom w:val="nil"/>
                    <w:right w:val="nil"/>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SimSun"/>
                      <w:color w:val="000000"/>
                      <w:kern w:val="0"/>
                      <w:szCs w:val="21"/>
                    </w:rPr>
                  </w:pPr>
                </w:p>
              </w:tc>
              <w:tc>
                <w:tcPr>
                  <w:tcW w:w="2525" w:type="dxa"/>
                  <w:tcBorders>
                    <w:top w:val="nil"/>
                    <w:left w:val="nil"/>
                    <w:bottom w:val="nil"/>
                    <w:right w:val="nil"/>
                  </w:tcBorders>
                  <w:shd w:val="clear" w:color="auto" w:fill="auto"/>
                  <w:noWrap/>
                  <w:vAlign w:val="center"/>
                  <w:hideMark/>
                </w:tcPr>
                <w:p w:rsidR="00606004" w:rsidRDefault="00606004" w:rsidP="001E23D0">
                  <w:pPr>
                    <w:widowControl/>
                    <w:snapToGrid w:val="0"/>
                    <w:spacing w:line="290" w:lineRule="atLeast"/>
                    <w:rPr>
                      <w:rFonts w:ascii="SimSun" w:eastAsiaTheme="minorEastAsia" w:hAnsi="SimSun" w:cs="SimSun" w:hint="eastAsia"/>
                      <w:color w:val="000000"/>
                      <w:kern w:val="0"/>
                      <w:szCs w:val="21"/>
                      <w:lang w:eastAsia="ko-KR"/>
                    </w:rPr>
                  </w:pPr>
                </w:p>
                <w:p w:rsidR="00606004" w:rsidRPr="00606004" w:rsidRDefault="00606004" w:rsidP="00A830C9">
                  <w:pPr>
                    <w:widowControl/>
                    <w:snapToGrid w:val="0"/>
                    <w:spacing w:line="290" w:lineRule="atLeast"/>
                    <w:jc w:val="center"/>
                    <w:rPr>
                      <w:rFonts w:ascii="SimSun" w:eastAsiaTheme="minorEastAsia" w:hAnsi="SimSun" w:cs="SimSun" w:hint="eastAsia"/>
                      <w:color w:val="000000"/>
                      <w:kern w:val="0"/>
                      <w:szCs w:val="21"/>
                    </w:rPr>
                  </w:pPr>
                </w:p>
              </w:tc>
              <w:tc>
                <w:tcPr>
                  <w:tcW w:w="647" w:type="dxa"/>
                  <w:tcBorders>
                    <w:top w:val="nil"/>
                    <w:left w:val="nil"/>
                    <w:bottom w:val="nil"/>
                    <w:right w:val="nil"/>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SimSun"/>
                      <w:color w:val="000000"/>
                      <w:kern w:val="0"/>
                      <w:szCs w:val="21"/>
                    </w:rPr>
                  </w:pPr>
                </w:p>
              </w:tc>
            </w:tr>
            <w:tr w:rsidR="0014553F" w:rsidRPr="00652482" w:rsidTr="001E23D0">
              <w:trPr>
                <w:trHeight w:val="734"/>
                <w:jc w:val="center"/>
              </w:trPr>
              <w:tc>
                <w:tcPr>
                  <w:tcW w:w="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序号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产品</w:t>
                  </w:r>
                </w:p>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种类</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产品范围</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征收标准(元/台)</w:t>
                  </w:r>
                </w:p>
              </w:tc>
            </w:tr>
            <w:tr w:rsidR="0014553F" w:rsidRPr="00652482" w:rsidTr="001E23D0">
              <w:trPr>
                <w:trHeight w:val="474"/>
                <w:jc w:val="center"/>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w:t>
                  </w:r>
                </w:p>
              </w:tc>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电视</w:t>
                  </w:r>
                  <w:r w:rsidRPr="00652482">
                    <w:rPr>
                      <w:rFonts w:ascii="SimSun" w:hAnsi="SimSun" w:cs="Courier New"/>
                      <w:color w:val="000000"/>
                      <w:kern w:val="0"/>
                      <w:szCs w:val="21"/>
                    </w:rPr>
                    <w:lastRenderedPageBreak/>
                    <w:t>机</w:t>
                  </w: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lastRenderedPageBreak/>
                    <w:t>阴极射线管（黑白、彩色）电视机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液晶电视机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1E23D0">
              <w:trPr>
                <w:trHeight w:val="937"/>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kern w:val="0"/>
                      <w:szCs w:val="21"/>
                    </w:rPr>
                  </w:pPr>
                  <w:r w:rsidRPr="00652482">
                    <w:rPr>
                      <w:rFonts w:ascii="SimSun" w:hAnsi="SimSun" w:cs="Courier New"/>
                      <w:kern w:val="0"/>
                      <w:szCs w:val="21"/>
                    </w:rPr>
                    <w:t>等离子电视机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1E23D0">
              <w:trPr>
                <w:trHeight w:val="55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背投电视机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1E23D0">
              <w:trPr>
                <w:trHeight w:val="523"/>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其他用于接收信号并还原出图像及伴音的终端设备</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1E23D0">
              <w:trPr>
                <w:trHeight w:val="474"/>
                <w:jc w:val="center"/>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2</w:t>
                  </w:r>
                </w:p>
              </w:tc>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电冰箱</w:t>
                  </w: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冷藏冷冻箱（柜）</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冷藏箱（柜）</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冷冻箱（柜）</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1E23D0">
              <w:trPr>
                <w:trHeight w:val="1346"/>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其他具有制冷系统、消耗能量以获取冷量的隔热箱体</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1E23D0">
              <w:trPr>
                <w:trHeight w:val="474"/>
                <w:jc w:val="center"/>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3</w:t>
                  </w:r>
                </w:p>
              </w:tc>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洗衣机</w:t>
                  </w: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波轮式洗衣机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滚筒式洗衣机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搅拌式洗衣机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脱水机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070C5E">
              <w:trPr>
                <w:trHeight w:val="1322"/>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其他依靠机械作用洗涤衣物（含兼有干衣功能）的器具</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1E23D0">
              <w:trPr>
                <w:trHeight w:val="474"/>
                <w:jc w:val="center"/>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4</w:t>
                  </w:r>
                </w:p>
              </w:tc>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房间空调器</w:t>
                  </w: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整体式空调（窗机、穿墙机等）</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分体式空调（分体壁挂、分体柜机等）</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一拖多空调器</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其他制冷量在14000W及以下的房间空气调节器具</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070C5E">
              <w:trPr>
                <w:trHeight w:val="1412"/>
                <w:jc w:val="center"/>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5</w:t>
                  </w:r>
                </w:p>
              </w:tc>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微型计算机</w:t>
                  </w: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台式微型计算机的显示器</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1E23D0">
              <w:trPr>
                <w:trHeight w:val="474"/>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主机、显示器一体形式</w:t>
                  </w:r>
                  <w:r w:rsidRPr="00652482">
                    <w:rPr>
                      <w:rFonts w:ascii="SimSun" w:hAnsi="SimSun" w:cs="Courier New"/>
                      <w:color w:val="000000"/>
                      <w:kern w:val="0"/>
                      <w:szCs w:val="21"/>
                    </w:rPr>
                    <w:lastRenderedPageBreak/>
                    <w:t>的台式微型计算机</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lastRenderedPageBreak/>
                    <w:t>10</w:t>
                  </w:r>
                </w:p>
              </w:tc>
            </w:tr>
            <w:tr w:rsidR="0014553F" w:rsidRPr="00652482" w:rsidTr="00070C5E">
              <w:trPr>
                <w:trHeight w:val="653"/>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便携式微型计算机（含平板电脑、掌上电脑）</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070C5E">
              <w:trPr>
                <w:trHeight w:val="70"/>
                <w:jc w:val="center"/>
              </w:trPr>
              <w:tc>
                <w:tcPr>
                  <w:tcW w:w="274"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510"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2525"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其他信息事务处理实体</w:t>
                  </w:r>
                </w:p>
              </w:tc>
              <w:tc>
                <w:tcPr>
                  <w:tcW w:w="647" w:type="dxa"/>
                  <w:tcBorders>
                    <w:top w:val="nil"/>
                    <w:left w:val="nil"/>
                    <w:bottom w:val="single" w:sz="4" w:space="0" w:color="auto"/>
                    <w:right w:val="single" w:sz="4" w:space="0" w:color="auto"/>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bl>
          <w:p w:rsidR="0014553F" w:rsidRPr="00652482" w:rsidRDefault="0014553F" w:rsidP="00A830C9">
            <w:pPr>
              <w:snapToGrid w:val="0"/>
              <w:spacing w:line="290" w:lineRule="atLeast"/>
              <w:ind w:firstLine="420"/>
              <w:rPr>
                <w:rFonts w:ascii="SimSun" w:hAnsi="SimSun"/>
                <w:szCs w:val="21"/>
              </w:rPr>
            </w:pPr>
          </w:p>
          <w:tbl>
            <w:tblPr>
              <w:tblW w:w="3681" w:type="dxa"/>
              <w:jc w:val="center"/>
              <w:tblInd w:w="93" w:type="dxa"/>
              <w:tblLayout w:type="fixed"/>
              <w:tblLook w:val="04A0"/>
            </w:tblPr>
            <w:tblGrid>
              <w:gridCol w:w="238"/>
              <w:gridCol w:w="305"/>
              <w:gridCol w:w="1900"/>
              <w:gridCol w:w="708"/>
              <w:gridCol w:w="530"/>
            </w:tblGrid>
            <w:tr w:rsidR="0014553F" w:rsidRPr="00652482" w:rsidTr="00070C5E">
              <w:trPr>
                <w:trHeight w:val="808"/>
                <w:jc w:val="center"/>
              </w:trPr>
              <w:tc>
                <w:tcPr>
                  <w:tcW w:w="3681" w:type="dxa"/>
                  <w:gridSpan w:val="5"/>
                  <w:tcBorders>
                    <w:top w:val="nil"/>
                    <w:left w:val="nil"/>
                    <w:bottom w:val="nil"/>
                    <w:right w:val="nil"/>
                  </w:tcBorders>
                  <w:shd w:val="clear" w:color="auto" w:fill="auto"/>
                  <w:noWrap/>
                  <w:vAlign w:val="center"/>
                  <w:hideMark/>
                </w:tcPr>
                <w:p w:rsidR="0014553F" w:rsidRPr="00652482" w:rsidRDefault="0014553F" w:rsidP="00070C5E">
                  <w:pPr>
                    <w:snapToGrid w:val="0"/>
                    <w:spacing w:line="290" w:lineRule="atLeast"/>
                    <w:jc w:val="left"/>
                    <w:rPr>
                      <w:rFonts w:ascii="SimSun" w:hAnsi="SimSun" w:cs="SimSun"/>
                      <w:color w:val="000000"/>
                      <w:kern w:val="0"/>
                      <w:szCs w:val="21"/>
                    </w:rPr>
                  </w:pPr>
                  <w:r w:rsidRPr="00652482">
                    <w:rPr>
                      <w:rFonts w:ascii="SimSun" w:hAnsi="SimSun" w:cs="SimSun" w:hint="eastAsia"/>
                      <w:color w:val="000000"/>
                      <w:kern w:val="0"/>
                      <w:szCs w:val="21"/>
                    </w:rPr>
                    <w:t>附2：</w:t>
                  </w:r>
                </w:p>
              </w:tc>
            </w:tr>
            <w:tr w:rsidR="0014553F" w:rsidRPr="00652482" w:rsidTr="00070C5E">
              <w:trPr>
                <w:trHeight w:val="935"/>
                <w:jc w:val="center"/>
              </w:trPr>
              <w:tc>
                <w:tcPr>
                  <w:tcW w:w="3681" w:type="dxa"/>
                  <w:gridSpan w:val="5"/>
                  <w:vMerge w:val="restart"/>
                  <w:tcBorders>
                    <w:top w:val="nil"/>
                    <w:left w:val="nil"/>
                    <w:bottom w:val="nil"/>
                    <w:right w:val="nil"/>
                  </w:tcBorders>
                  <w:shd w:val="clear" w:color="auto" w:fill="auto"/>
                  <w:vAlign w:val="center"/>
                  <w:hideMark/>
                </w:tcPr>
                <w:p w:rsidR="00070C5E" w:rsidRDefault="0014553F" w:rsidP="00070C5E">
                  <w:pPr>
                    <w:adjustRightInd w:val="0"/>
                    <w:snapToGrid w:val="0"/>
                    <w:spacing w:line="290" w:lineRule="atLeast"/>
                    <w:jc w:val="center"/>
                    <w:rPr>
                      <w:rFonts w:ascii="SimSun" w:eastAsiaTheme="minorEastAsia" w:hAnsi="SimSun" w:cs="SimSun" w:hint="eastAsia"/>
                      <w:color w:val="000000"/>
                      <w:kern w:val="0"/>
                      <w:szCs w:val="21"/>
                      <w:lang w:eastAsia="ko-KR"/>
                    </w:rPr>
                  </w:pPr>
                  <w:r w:rsidRPr="00652482">
                    <w:rPr>
                      <w:rFonts w:ascii="SimSun" w:hAnsi="SimSun" w:cs="SimSun" w:hint="eastAsia"/>
                      <w:color w:val="000000"/>
                      <w:kern w:val="0"/>
                      <w:szCs w:val="21"/>
                    </w:rPr>
                    <w:t>对进口电器电子产品征收基金适用                                  的商品名称、海关税则号列和征收</w:t>
                  </w:r>
                </w:p>
                <w:p w:rsidR="0014553F" w:rsidRPr="00652482" w:rsidRDefault="0014553F" w:rsidP="00070C5E">
                  <w:pPr>
                    <w:adjustRightInd w:val="0"/>
                    <w:snapToGrid w:val="0"/>
                    <w:spacing w:line="290" w:lineRule="atLeast"/>
                    <w:jc w:val="center"/>
                    <w:rPr>
                      <w:rFonts w:ascii="SimSun" w:hAnsi="SimSun" w:cs="SimSun"/>
                      <w:color w:val="000000"/>
                      <w:kern w:val="0"/>
                      <w:szCs w:val="21"/>
                    </w:rPr>
                  </w:pPr>
                  <w:r w:rsidRPr="00652482">
                    <w:rPr>
                      <w:rFonts w:ascii="SimSun" w:hAnsi="SimSun" w:cs="SimSun" w:hint="eastAsia"/>
                      <w:color w:val="000000"/>
                      <w:kern w:val="0"/>
                      <w:szCs w:val="21"/>
                    </w:rPr>
                    <w:t>标准</w:t>
                  </w:r>
                  <w:r w:rsidR="00070C5E" w:rsidRPr="00652482">
                    <w:rPr>
                      <w:rFonts w:ascii="SimSun" w:hAnsi="SimSun" w:cs="SimSun" w:hint="eastAsia"/>
                      <w:color w:val="000000"/>
                      <w:kern w:val="0"/>
                      <w:szCs w:val="21"/>
                    </w:rPr>
                    <w:t>（2012年版）</w:t>
                  </w:r>
                </w:p>
              </w:tc>
            </w:tr>
            <w:tr w:rsidR="0014553F" w:rsidRPr="00652482" w:rsidTr="00070C5E">
              <w:trPr>
                <w:trHeight w:val="935"/>
                <w:jc w:val="center"/>
              </w:trPr>
              <w:tc>
                <w:tcPr>
                  <w:tcW w:w="3681" w:type="dxa"/>
                  <w:gridSpan w:val="5"/>
                  <w:vMerge/>
                  <w:tcBorders>
                    <w:top w:val="nil"/>
                    <w:left w:val="nil"/>
                    <w:bottom w:val="nil"/>
                    <w:right w:val="nil"/>
                  </w:tcBorders>
                  <w:vAlign w:val="center"/>
                  <w:hideMark/>
                </w:tcPr>
                <w:p w:rsidR="0014553F" w:rsidRPr="00652482" w:rsidRDefault="0014553F" w:rsidP="00070C5E">
                  <w:pPr>
                    <w:adjustRightInd w:val="0"/>
                    <w:snapToGrid w:val="0"/>
                    <w:spacing w:line="290" w:lineRule="atLeast"/>
                    <w:jc w:val="center"/>
                    <w:rPr>
                      <w:rFonts w:ascii="SimSun" w:hAnsi="SimSun" w:cs="SimSun"/>
                      <w:color w:val="000000"/>
                      <w:kern w:val="0"/>
                      <w:szCs w:val="21"/>
                    </w:rPr>
                  </w:pPr>
                </w:p>
              </w:tc>
            </w:tr>
            <w:tr w:rsidR="0014553F" w:rsidRPr="00652482" w:rsidTr="00070C5E">
              <w:trPr>
                <w:trHeight w:val="557"/>
                <w:jc w:val="center"/>
              </w:trPr>
              <w:tc>
                <w:tcPr>
                  <w:tcW w:w="3681" w:type="dxa"/>
                  <w:gridSpan w:val="5"/>
                  <w:tcBorders>
                    <w:top w:val="nil"/>
                    <w:left w:val="nil"/>
                    <w:bottom w:val="nil"/>
                    <w:right w:val="nil"/>
                  </w:tcBorders>
                  <w:shd w:val="clear" w:color="auto" w:fill="auto"/>
                  <w:noWrap/>
                  <w:vAlign w:val="center"/>
                  <w:hideMark/>
                </w:tcPr>
                <w:p w:rsidR="0014553F" w:rsidRPr="00652482" w:rsidRDefault="0014553F" w:rsidP="00070C5E">
                  <w:pPr>
                    <w:adjustRightInd w:val="0"/>
                    <w:snapToGrid w:val="0"/>
                    <w:spacing w:line="290" w:lineRule="atLeast"/>
                    <w:jc w:val="center"/>
                    <w:rPr>
                      <w:rFonts w:ascii="SimSun" w:hAnsi="SimSun" w:cs="SimSun"/>
                      <w:color w:val="000000"/>
                      <w:kern w:val="0"/>
                      <w:szCs w:val="21"/>
                    </w:rPr>
                  </w:pPr>
                </w:p>
              </w:tc>
            </w:tr>
            <w:tr w:rsidR="0014553F" w:rsidRPr="00652482" w:rsidTr="00AD071F">
              <w:trPr>
                <w:trHeight w:val="80"/>
                <w:jc w:val="center"/>
              </w:trPr>
              <w:tc>
                <w:tcPr>
                  <w:tcW w:w="238" w:type="dxa"/>
                  <w:tcBorders>
                    <w:top w:val="nil"/>
                    <w:left w:val="nil"/>
                    <w:bottom w:val="nil"/>
                    <w:right w:val="nil"/>
                  </w:tcBorders>
                  <w:shd w:val="clear" w:color="auto" w:fill="auto"/>
                  <w:noWrap/>
                  <w:vAlign w:val="center"/>
                  <w:hideMark/>
                </w:tcPr>
                <w:p w:rsidR="0014553F" w:rsidRPr="00070C5E" w:rsidRDefault="0014553F" w:rsidP="00070C5E">
                  <w:pPr>
                    <w:widowControl/>
                    <w:snapToGrid w:val="0"/>
                    <w:spacing w:line="290" w:lineRule="atLeast"/>
                    <w:rPr>
                      <w:rFonts w:ascii="SimSun" w:eastAsiaTheme="minorEastAsia" w:hAnsi="SimSun" w:cs="SimSun" w:hint="eastAsia"/>
                      <w:color w:val="000000"/>
                      <w:kern w:val="0"/>
                      <w:szCs w:val="21"/>
                      <w:lang w:eastAsia="ko-KR"/>
                    </w:rPr>
                  </w:pPr>
                </w:p>
              </w:tc>
              <w:tc>
                <w:tcPr>
                  <w:tcW w:w="305" w:type="dxa"/>
                  <w:tcBorders>
                    <w:top w:val="nil"/>
                    <w:left w:val="nil"/>
                    <w:bottom w:val="nil"/>
                    <w:right w:val="nil"/>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SimSun"/>
                      <w:color w:val="000000"/>
                      <w:kern w:val="0"/>
                      <w:szCs w:val="21"/>
                    </w:rPr>
                  </w:pPr>
                </w:p>
              </w:tc>
              <w:tc>
                <w:tcPr>
                  <w:tcW w:w="1900" w:type="dxa"/>
                  <w:tcBorders>
                    <w:top w:val="nil"/>
                    <w:left w:val="nil"/>
                    <w:bottom w:val="nil"/>
                    <w:right w:val="nil"/>
                  </w:tcBorders>
                  <w:shd w:val="clear" w:color="auto" w:fill="auto"/>
                  <w:noWrap/>
                  <w:vAlign w:val="center"/>
                  <w:hideMark/>
                </w:tcPr>
                <w:p w:rsidR="0014553F" w:rsidRPr="00070C5E" w:rsidRDefault="0014553F" w:rsidP="00070C5E">
                  <w:pPr>
                    <w:widowControl/>
                    <w:snapToGrid w:val="0"/>
                    <w:spacing w:line="290" w:lineRule="atLeast"/>
                    <w:rPr>
                      <w:rFonts w:ascii="SimSun" w:eastAsiaTheme="minorEastAsia" w:hAnsi="SimSun" w:cs="SimSun" w:hint="eastAsia"/>
                      <w:color w:val="000000"/>
                      <w:kern w:val="0"/>
                      <w:szCs w:val="21"/>
                      <w:lang w:eastAsia="ko-KR"/>
                    </w:rPr>
                  </w:pPr>
                </w:p>
              </w:tc>
              <w:tc>
                <w:tcPr>
                  <w:tcW w:w="708" w:type="dxa"/>
                  <w:tcBorders>
                    <w:top w:val="nil"/>
                    <w:left w:val="nil"/>
                    <w:bottom w:val="nil"/>
                    <w:right w:val="nil"/>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SimSun"/>
                      <w:color w:val="000000"/>
                      <w:kern w:val="0"/>
                      <w:szCs w:val="21"/>
                    </w:rPr>
                  </w:pPr>
                </w:p>
              </w:tc>
              <w:tc>
                <w:tcPr>
                  <w:tcW w:w="530" w:type="dxa"/>
                  <w:tcBorders>
                    <w:top w:val="nil"/>
                    <w:left w:val="nil"/>
                    <w:bottom w:val="nil"/>
                    <w:right w:val="nil"/>
                  </w:tcBorders>
                  <w:shd w:val="clear" w:color="auto" w:fill="auto"/>
                  <w:noWrap/>
                  <w:vAlign w:val="center"/>
                  <w:hideMark/>
                </w:tcPr>
                <w:p w:rsidR="0014553F" w:rsidRPr="00652482" w:rsidRDefault="0014553F" w:rsidP="00A830C9">
                  <w:pPr>
                    <w:widowControl/>
                    <w:snapToGrid w:val="0"/>
                    <w:spacing w:line="290" w:lineRule="atLeast"/>
                    <w:jc w:val="center"/>
                    <w:rPr>
                      <w:rFonts w:ascii="SimSun" w:hAnsi="SimSun" w:cs="SimSun"/>
                      <w:color w:val="000000"/>
                      <w:kern w:val="0"/>
                      <w:szCs w:val="21"/>
                    </w:rPr>
                  </w:pPr>
                </w:p>
              </w:tc>
            </w:tr>
            <w:tr w:rsidR="0014553F" w:rsidRPr="00652482" w:rsidTr="00AD071F">
              <w:trPr>
                <w:trHeight w:val="1473"/>
                <w:jc w:val="center"/>
              </w:trPr>
              <w:tc>
                <w:tcPr>
                  <w:tcW w:w="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序号</w:t>
                  </w:r>
                </w:p>
              </w:tc>
              <w:tc>
                <w:tcPr>
                  <w:tcW w:w="305" w:type="dxa"/>
                  <w:tcBorders>
                    <w:top w:val="single" w:sz="4" w:space="0" w:color="auto"/>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产品种类</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商品名称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税则号列</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征收标准（元/台）</w:t>
                  </w:r>
                </w:p>
              </w:tc>
            </w:tr>
            <w:tr w:rsidR="0014553F" w:rsidRPr="00652482" w:rsidTr="00AD071F">
              <w:trPr>
                <w:trHeight w:val="882"/>
                <w:jc w:val="center"/>
              </w:trPr>
              <w:tc>
                <w:tcPr>
                  <w:tcW w:w="238"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w:t>
                  </w:r>
                </w:p>
              </w:tc>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电视机</w:t>
                  </w: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其他彩色的模拟电视接收机，带阴极射线显像管的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85287211</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其他彩色的数字电视接收机，阴极射线显像管的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85287212</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其他彩色的电视接收机，阴极射线显像管的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85287219</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彩色的液晶显示器的模拟电视接收机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85287221</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彩色的液晶显示器的数字电视接收机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85287222</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其他彩色的液晶显示器的电视接收机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85287229</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562"/>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彩色的等离子显示器的模拟电视接收机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85287231</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彩色的等离子显示器的数字电视接收机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85287232</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AD071F" w:rsidRDefault="0014553F" w:rsidP="00A830C9">
                  <w:pPr>
                    <w:widowControl/>
                    <w:snapToGrid w:val="0"/>
                    <w:spacing w:line="290" w:lineRule="atLeast"/>
                    <w:rPr>
                      <w:rFonts w:ascii="SimSun" w:hAnsi="SimSun" w:cs="Courier New"/>
                      <w:color w:val="000000"/>
                      <w:spacing w:val="-8"/>
                      <w:kern w:val="0"/>
                      <w:szCs w:val="21"/>
                    </w:rPr>
                  </w:pPr>
                  <w:r w:rsidRPr="00AD071F">
                    <w:rPr>
                      <w:rFonts w:ascii="SimSun" w:hAnsi="SimSun" w:cs="Courier New"/>
                      <w:color w:val="000000"/>
                      <w:spacing w:val="-8"/>
                      <w:kern w:val="0"/>
                      <w:szCs w:val="21"/>
                    </w:rPr>
                    <w:t>其他彩色的等离子显示器的电视接收机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85287239</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其他彩色的模拟电视接收机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85287291</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其他彩色的数字电视接收机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85287292</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85287299</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黑白或其他单色的电视接收机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85287300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13</w:t>
                  </w:r>
                </w:p>
              </w:tc>
            </w:tr>
            <w:tr w:rsidR="0014553F" w:rsidRPr="00652482" w:rsidTr="00AD071F">
              <w:trPr>
                <w:trHeight w:val="955"/>
                <w:jc w:val="center"/>
              </w:trPr>
              <w:tc>
                <w:tcPr>
                  <w:tcW w:w="238"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2</w:t>
                  </w:r>
                </w:p>
              </w:tc>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电冰箱</w:t>
                  </w: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容积&gt;500升冷藏-冷冻组合机（各自装有单独外门的）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84181010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972"/>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200升&lt;容积≤500升冷藏-冷冻组合机（各自装有单独外门的）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84181020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972"/>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容积≤200升冷藏-冷冻组合机（各自装有单独外门的）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84181030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容积&gt;150升压缩式家用型冷藏箱</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84182110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压缩式家用型冷藏箱（50升&lt;容积≤150升）</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84182120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容积≤50升压缩式家用型冷藏箱</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84182130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半导体制冷式家用型冷藏箱</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84182910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电气吸收式家用型冷藏箱</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84182920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其他家用型冷藏箱</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84182990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955"/>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制冷温度&gt;-40</w:t>
                  </w:r>
                  <w:r w:rsidRPr="00652482">
                    <w:rPr>
                      <w:rFonts w:ascii="SimSun" w:hAnsi="SimSun" w:cs="SimSun"/>
                      <w:color w:val="000000"/>
                      <w:kern w:val="0"/>
                      <w:szCs w:val="21"/>
                    </w:rPr>
                    <w:t>℃</w:t>
                  </w:r>
                  <w:r w:rsidRPr="00652482">
                    <w:rPr>
                      <w:rFonts w:ascii="SimSun" w:hAnsi="SimSun" w:cs="Courier New"/>
                      <w:color w:val="000000"/>
                      <w:kern w:val="0"/>
                      <w:szCs w:val="21"/>
                    </w:rPr>
                    <w:t>小的其他柜式冷冻箱（小的指容积≤500升）</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84183029</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1007"/>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制冷温度&gt;-40</w:t>
                  </w:r>
                  <w:r w:rsidRPr="00652482">
                    <w:rPr>
                      <w:rFonts w:ascii="SimSun" w:hAnsi="SimSun" w:cs="SimSun"/>
                      <w:color w:val="000000"/>
                      <w:kern w:val="0"/>
                      <w:szCs w:val="21"/>
                    </w:rPr>
                    <w:t>℃</w:t>
                  </w:r>
                  <w:r w:rsidRPr="00652482">
                    <w:rPr>
                      <w:rFonts w:ascii="SimSun" w:hAnsi="SimSun" w:cs="Courier New"/>
                      <w:color w:val="000000"/>
                      <w:kern w:val="0"/>
                      <w:szCs w:val="21"/>
                    </w:rPr>
                    <w:t>小的立式冷冻箱（小的指容积≤500升）</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84184029</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12</w:t>
                  </w:r>
                </w:p>
              </w:tc>
            </w:tr>
            <w:tr w:rsidR="0014553F" w:rsidRPr="00652482" w:rsidTr="00AD071F">
              <w:trPr>
                <w:trHeight w:val="820"/>
                <w:jc w:val="center"/>
              </w:trPr>
              <w:tc>
                <w:tcPr>
                  <w:tcW w:w="238"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3</w:t>
                  </w:r>
                </w:p>
              </w:tc>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洗衣机</w:t>
                  </w: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干衣量≤10kg全自动波轮式洗衣机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84501110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干衣量≤10kg全自动滚筒式洗衣机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84501120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559"/>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其他干衣量≤10kg全自动洗衣机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84501190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1023"/>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装有离心甩干机的非全自动洗衣机（干衣量≤10kg）</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84501200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干衣量≤10kg的其他洗衣机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84501900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1653"/>
                <w:jc w:val="center"/>
              </w:trPr>
              <w:tc>
                <w:tcPr>
                  <w:tcW w:w="238"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4</w:t>
                  </w:r>
                </w:p>
              </w:tc>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房间空调器</w:t>
                  </w: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独立窗式或壁式空气调节器（装有电扇及调温、调湿装置，包括不能单独调湿的空调器）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84151010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2400"/>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制冷量≤4000大卡/时分体式空调，窗式或壁式（装有电扇及调温、调湿装置，包括不能单独调湿的空调器）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84151021</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2689"/>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4000大卡/时&lt;制冷量≤12046大卡/时（14000W）分体式空调，窗式或壁式（装有电扇及调温、调湿装置，包括不能单独调湿的空调器）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ex84151022</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989"/>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制冷量≤4000大卡/时热泵式空调器（装有制冷装置及一个冷热循环换向阀的）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84158110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1438"/>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4000大卡/时&lt;制冷量≤12046大卡/时（14000W）热泵式空调器（装有制冷装置及一个冷热循环换向阀的）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ex84158120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955"/>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制冷量≤4000大卡/时的其他空调器（仅装有制冷装置，而无冷热循环装置的）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84158210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2052"/>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4000大卡/时&lt;制冷量≤12046大卡/时（14000W）的其他空调（仅装有制冷装置，而无冷热循环装置的）</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ex84158220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7</w:t>
                  </w:r>
                </w:p>
              </w:tc>
            </w:tr>
            <w:tr w:rsidR="0014553F" w:rsidRPr="00652482" w:rsidTr="00AD071F">
              <w:trPr>
                <w:trHeight w:val="1813"/>
                <w:jc w:val="center"/>
              </w:trPr>
              <w:tc>
                <w:tcPr>
                  <w:tcW w:w="238"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5</w:t>
                  </w:r>
                </w:p>
              </w:tc>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微型计算机</w:t>
                  </w: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便携式自动数据处理设备（重量≤10kg，至少由一个中央处理器、键盘和显示器组成）</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84713000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577"/>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微型机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84714140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82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以系统形式报验的微型机</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84714940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含显示器的微型机的处理部件</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ex84715040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1234"/>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专用或主要用于84.71商品的阴极射线管监视器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85284100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专用或主要用于84.71商品的液晶监视器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85285110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其他专用或主要用于84.71商品的监视器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85285190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其他彩色的监视器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85285910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r w:rsidR="0014553F" w:rsidRPr="00652482" w:rsidTr="00AD071F">
              <w:trPr>
                <w:trHeight w:val="686"/>
                <w:jc w:val="center"/>
              </w:trPr>
              <w:tc>
                <w:tcPr>
                  <w:tcW w:w="238"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305" w:type="dxa"/>
                  <w:vMerge/>
                  <w:tcBorders>
                    <w:top w:val="nil"/>
                    <w:left w:val="single" w:sz="4" w:space="0" w:color="auto"/>
                    <w:bottom w:val="single" w:sz="4" w:space="0" w:color="000000"/>
                    <w:right w:val="single" w:sz="4" w:space="0" w:color="auto"/>
                  </w:tcBorders>
                  <w:vAlign w:val="center"/>
                  <w:hideMark/>
                </w:tcPr>
                <w:p w:rsidR="0014553F" w:rsidRPr="00652482" w:rsidRDefault="0014553F" w:rsidP="00A830C9">
                  <w:pPr>
                    <w:widowControl/>
                    <w:snapToGrid w:val="0"/>
                    <w:spacing w:line="290" w:lineRule="atLeast"/>
                    <w:jc w:val="left"/>
                    <w:rPr>
                      <w:rFonts w:ascii="SimSun" w:hAnsi="SimSun" w:cs="Courier New"/>
                      <w:color w:val="000000"/>
                      <w:kern w:val="0"/>
                      <w:szCs w:val="21"/>
                    </w:rPr>
                  </w:pPr>
                </w:p>
              </w:tc>
              <w:tc>
                <w:tcPr>
                  <w:tcW w:w="190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rPr>
                      <w:rFonts w:ascii="SimSun" w:hAnsi="SimSun" w:cs="Courier New"/>
                      <w:color w:val="000000"/>
                      <w:kern w:val="0"/>
                      <w:szCs w:val="21"/>
                    </w:rPr>
                  </w:pPr>
                  <w:r w:rsidRPr="00652482">
                    <w:rPr>
                      <w:rFonts w:ascii="SimSun" w:hAnsi="SimSun" w:cs="Courier New"/>
                      <w:color w:val="000000"/>
                      <w:kern w:val="0"/>
                      <w:szCs w:val="21"/>
                    </w:rPr>
                    <w:t>其他单色的监视器</w:t>
                  </w:r>
                </w:p>
              </w:tc>
              <w:tc>
                <w:tcPr>
                  <w:tcW w:w="708"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85285990</w:t>
                  </w:r>
                </w:p>
              </w:tc>
              <w:tc>
                <w:tcPr>
                  <w:tcW w:w="530" w:type="dxa"/>
                  <w:tcBorders>
                    <w:top w:val="nil"/>
                    <w:left w:val="nil"/>
                    <w:bottom w:val="single" w:sz="4" w:space="0" w:color="auto"/>
                    <w:right w:val="single" w:sz="4" w:space="0" w:color="auto"/>
                  </w:tcBorders>
                  <w:shd w:val="clear" w:color="auto" w:fill="auto"/>
                  <w:vAlign w:val="center"/>
                  <w:hideMark/>
                </w:tcPr>
                <w:p w:rsidR="0014553F" w:rsidRPr="00652482" w:rsidRDefault="0014553F" w:rsidP="00A830C9">
                  <w:pPr>
                    <w:widowControl/>
                    <w:snapToGrid w:val="0"/>
                    <w:spacing w:line="290" w:lineRule="atLeast"/>
                    <w:jc w:val="center"/>
                    <w:rPr>
                      <w:rFonts w:ascii="SimSun" w:hAnsi="SimSun" w:cs="Courier New"/>
                      <w:color w:val="000000"/>
                      <w:kern w:val="0"/>
                      <w:szCs w:val="21"/>
                    </w:rPr>
                  </w:pPr>
                  <w:r w:rsidRPr="00652482">
                    <w:rPr>
                      <w:rFonts w:ascii="SimSun" w:hAnsi="SimSun" w:cs="Courier New"/>
                      <w:color w:val="000000"/>
                      <w:kern w:val="0"/>
                      <w:szCs w:val="21"/>
                    </w:rPr>
                    <w:t>10</w:t>
                  </w:r>
                </w:p>
              </w:tc>
            </w:tr>
          </w:tbl>
          <w:p w:rsidR="0014553F" w:rsidRPr="00652482" w:rsidRDefault="0014553F" w:rsidP="00A830C9">
            <w:pPr>
              <w:snapToGrid w:val="0"/>
              <w:spacing w:line="290" w:lineRule="atLeast"/>
              <w:ind w:firstLine="420"/>
              <w:rPr>
                <w:rFonts w:ascii="SimSun" w:hAnsi="SimSun"/>
                <w:szCs w:val="21"/>
              </w:rPr>
            </w:pPr>
          </w:p>
          <w:tbl>
            <w:tblPr>
              <w:tblW w:w="4250" w:type="pct"/>
              <w:jc w:val="center"/>
              <w:tblCellSpacing w:w="0" w:type="dxa"/>
              <w:tblLayout w:type="fixed"/>
              <w:tblCellMar>
                <w:left w:w="0" w:type="dxa"/>
                <w:right w:w="0" w:type="dxa"/>
              </w:tblCellMar>
              <w:tblLook w:val="04A0"/>
            </w:tblPr>
            <w:tblGrid>
              <w:gridCol w:w="350"/>
              <w:gridCol w:w="2831"/>
            </w:tblGrid>
            <w:tr w:rsidR="0014553F" w:rsidRPr="00652482" w:rsidTr="00652482">
              <w:trPr>
                <w:tblCellSpacing w:w="0" w:type="dxa"/>
                <w:jc w:val="center"/>
              </w:trPr>
              <w:tc>
                <w:tcPr>
                  <w:tcW w:w="550" w:type="pct"/>
                  <w:hideMark/>
                </w:tcPr>
                <w:p w:rsidR="0014553F" w:rsidRPr="00652482" w:rsidRDefault="0014553F" w:rsidP="00A830C9">
                  <w:pPr>
                    <w:widowControl/>
                    <w:snapToGrid w:val="0"/>
                    <w:spacing w:before="100" w:beforeAutospacing="1" w:after="100" w:afterAutospacing="1" w:line="290" w:lineRule="atLeast"/>
                    <w:jc w:val="left"/>
                    <w:rPr>
                      <w:rFonts w:ascii="SimSun" w:hAnsi="SimSun" w:cs="SimSun" w:hint="eastAsia"/>
                      <w:kern w:val="0"/>
                      <w:szCs w:val="21"/>
                    </w:rPr>
                  </w:pPr>
                </w:p>
              </w:tc>
              <w:tc>
                <w:tcPr>
                  <w:tcW w:w="4450" w:type="pct"/>
                  <w:hideMark/>
                </w:tcPr>
                <w:p w:rsidR="0014553F" w:rsidRPr="00652482" w:rsidRDefault="0014553F" w:rsidP="00A830C9">
                  <w:pPr>
                    <w:widowControl/>
                    <w:snapToGrid w:val="0"/>
                    <w:spacing w:before="100" w:beforeAutospacing="1" w:after="100" w:afterAutospacing="1" w:line="290" w:lineRule="atLeast"/>
                    <w:jc w:val="left"/>
                    <w:rPr>
                      <w:rFonts w:ascii="SimSun" w:hAnsi="SimSun" w:cs="SimSun" w:hint="eastAsia"/>
                      <w:kern w:val="0"/>
                      <w:szCs w:val="21"/>
                    </w:rPr>
                  </w:pPr>
                </w:p>
              </w:tc>
            </w:tr>
          </w:tbl>
          <w:p w:rsidR="0014553F" w:rsidRPr="00652482" w:rsidRDefault="0014553F" w:rsidP="00A830C9">
            <w:pPr>
              <w:snapToGrid w:val="0"/>
              <w:spacing w:line="290" w:lineRule="atLeast"/>
              <w:ind w:firstLine="420"/>
              <w:rPr>
                <w:rFonts w:ascii="SimSun" w:hAnsi="SimSun"/>
                <w:szCs w:val="21"/>
              </w:rPr>
            </w:pPr>
          </w:p>
          <w:p w:rsidR="0014553F" w:rsidRPr="00652482" w:rsidRDefault="0014553F" w:rsidP="00A830C9">
            <w:pPr>
              <w:snapToGrid w:val="0"/>
              <w:spacing w:line="290" w:lineRule="atLeast"/>
              <w:rPr>
                <w:rFonts w:ascii="SimSun" w:hAnsi="SimSun"/>
                <w:szCs w:val="21"/>
              </w:rPr>
            </w:pPr>
          </w:p>
          <w:p w:rsidR="0014553F" w:rsidRPr="00652482" w:rsidRDefault="0014553F" w:rsidP="00A830C9">
            <w:pPr>
              <w:snapToGrid w:val="0"/>
              <w:spacing w:line="290" w:lineRule="atLeast"/>
              <w:rPr>
                <w:rFonts w:ascii="SimSun" w:hAnsi="SimSun"/>
                <w:szCs w:val="21"/>
              </w:rPr>
            </w:pPr>
            <w:r w:rsidRPr="00652482">
              <w:rPr>
                <w:rFonts w:ascii="SimSun" w:hAnsi="SimSun" w:hint="eastAsia"/>
                <w:szCs w:val="21"/>
              </w:rPr>
              <w:t xml:space="preserve">　　</w:t>
            </w:r>
          </w:p>
          <w:p w:rsidR="0014553F" w:rsidRPr="00652482" w:rsidRDefault="0014553F" w:rsidP="00A830C9">
            <w:pPr>
              <w:snapToGrid w:val="0"/>
              <w:spacing w:line="290" w:lineRule="atLeast"/>
              <w:rPr>
                <w:rFonts w:ascii="SimSun" w:hAnsi="SimSun"/>
                <w:szCs w:val="21"/>
              </w:rPr>
            </w:pPr>
            <w:r w:rsidRPr="00652482">
              <w:rPr>
                <w:rFonts w:ascii="SimSun" w:hAnsi="SimSun"/>
                <w:szCs w:val="21"/>
              </w:rPr>
              <w:t xml:space="preserve"> </w:t>
            </w:r>
          </w:p>
          <w:p w:rsidR="0014553F" w:rsidRPr="00652482" w:rsidRDefault="0014553F" w:rsidP="00A830C9">
            <w:pPr>
              <w:snapToGrid w:val="0"/>
              <w:spacing w:line="290" w:lineRule="atLeast"/>
              <w:rPr>
                <w:rFonts w:ascii="SimSun" w:hAnsi="SimSun"/>
                <w:szCs w:val="21"/>
              </w:rPr>
            </w:pPr>
            <w:r w:rsidRPr="00652482">
              <w:rPr>
                <w:rFonts w:ascii="SimSun" w:hAnsi="SimSun"/>
                <w:szCs w:val="21"/>
              </w:rPr>
              <w:t xml:space="preserve"> </w:t>
            </w:r>
          </w:p>
          <w:p w:rsidR="0014553F" w:rsidRPr="00652482" w:rsidRDefault="0014553F" w:rsidP="00A830C9">
            <w:pPr>
              <w:snapToGrid w:val="0"/>
              <w:spacing w:line="290" w:lineRule="atLeast"/>
              <w:rPr>
                <w:rFonts w:ascii="SimSun" w:hAnsi="SimSun"/>
                <w:szCs w:val="21"/>
              </w:rPr>
            </w:pPr>
          </w:p>
          <w:p w:rsidR="00A04DAE" w:rsidRPr="00652482" w:rsidRDefault="00A04DAE" w:rsidP="00A830C9">
            <w:pPr>
              <w:snapToGrid w:val="0"/>
              <w:spacing w:line="290" w:lineRule="atLeast"/>
              <w:rPr>
                <w:rFonts w:ascii="SimSun" w:hAnsi="SimSun"/>
                <w:szCs w:val="21"/>
              </w:rPr>
            </w:pPr>
          </w:p>
        </w:tc>
      </w:tr>
    </w:tbl>
    <w:p w:rsidR="00E306BA" w:rsidRDefault="00E306BA"/>
    <w:sectPr w:rsidR="00E306BA" w:rsidSect="00A04DA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783" w:rsidRDefault="00E47783" w:rsidP="00A04DAE">
      <w:pPr>
        <w:spacing w:line="240" w:lineRule="auto"/>
      </w:pPr>
      <w:r>
        <w:separator/>
      </w:r>
    </w:p>
  </w:endnote>
  <w:endnote w:type="continuationSeparator" w:id="0">
    <w:p w:rsidR="00E47783" w:rsidRDefault="00E47783" w:rsidP="00A04D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atang">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783" w:rsidRDefault="00E47783" w:rsidP="00A04DAE">
      <w:pPr>
        <w:spacing w:line="240" w:lineRule="auto"/>
      </w:pPr>
      <w:r>
        <w:separator/>
      </w:r>
    </w:p>
  </w:footnote>
  <w:footnote w:type="continuationSeparator" w:id="0">
    <w:p w:rsidR="00E47783" w:rsidRDefault="00E47783" w:rsidP="00A04DA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DAE"/>
    <w:rsid w:val="00070C5E"/>
    <w:rsid w:val="0014553F"/>
    <w:rsid w:val="001E23D0"/>
    <w:rsid w:val="003773A2"/>
    <w:rsid w:val="00606004"/>
    <w:rsid w:val="00652482"/>
    <w:rsid w:val="00A04DAE"/>
    <w:rsid w:val="00A830C9"/>
    <w:rsid w:val="00AD071F"/>
    <w:rsid w:val="00C73C36"/>
    <w:rsid w:val="00E306BA"/>
    <w:rsid w:val="00E477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AE"/>
    <w:pPr>
      <w:widowControl w:val="0"/>
      <w:spacing w:line="360" w:lineRule="auto"/>
      <w:jc w:val="both"/>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DAE"/>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A04DAE"/>
  </w:style>
  <w:style w:type="paragraph" w:styleId="a4">
    <w:name w:val="footer"/>
    <w:basedOn w:val="a"/>
    <w:link w:val="Char0"/>
    <w:uiPriority w:val="99"/>
    <w:semiHidden/>
    <w:unhideWhenUsed/>
    <w:rsid w:val="00A04DAE"/>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A04DAE"/>
  </w:style>
  <w:style w:type="table" w:styleId="a5">
    <w:name w:val="Table Grid"/>
    <w:basedOn w:val="a1"/>
    <w:uiPriority w:val="59"/>
    <w:rsid w:val="00A04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2377</Words>
  <Characters>13551</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2012-06-04T02:58:00Z</dcterms:created>
  <dcterms:modified xsi:type="dcterms:W3CDTF">2012-06-04T03:38:00Z</dcterms:modified>
</cp:coreProperties>
</file>